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  <w:jc w:val="center"/>
      </w:pPr>
      <w:r>
        <w:rPr>
          <w:b/>
          <w:bCs/>
          <w:color w:val="166534"/>
          <w:sz w:val="36"/>
          <w:szCs w:val="36"/>
          <w:rtl/>
        </w:rPr>
        <w:t xml:space="preserve">مؤسسة خالد بن فهد البعيز الخيرية</w:t>
      </w:r>
    </w:p>
    <w:p>
      <w:pPr>
        <w:spacing w:before="200"/>
        <w:jc w:val="center"/>
      </w:pPr>
      <w:r>
        <w:rPr>
          <w:color w:val="6B7280"/>
          <w:sz w:val="24"/>
          <w:szCs w:val="24"/>
        </w:rPr>
        <w:t xml:space="preserve">Khaled Bin Fahad Al-Buaijan Foundation</w:t>
      </w:r>
    </w:p>
    <w:p>
      <w:pPr>
        <w:pBdr>
          <w:bottom w:val="single" w:color="B08D3A" w:sz="8" w:space="6"/>
        </w:pBdr>
        <w:spacing w:after="200" w:before="100"/>
      </w:pPr>
    </w:p>
    <w:p>
      <w:pPr>
        <w:spacing w:before="800"/>
        <w:jc w:val="center"/>
      </w:pPr>
      <w:r>
        <w:rPr>
          <w:b/>
          <w:bCs/>
          <w:color w:val="166534"/>
          <w:sz w:val="52"/>
          <w:szCs w:val="52"/>
          <w:rtl/>
        </w:rPr>
        <w:t xml:space="preserve">دليل التطبيق والاعتماد</w:t>
      </w:r>
    </w:p>
    <w:p>
      <w:pPr>
        <w:spacing w:before="200"/>
        <w:jc w:val="center"/>
      </w:pPr>
      <w:r>
        <w:rPr>
          <w:color w:val="4B5563"/>
          <w:sz w:val="26"/>
          <w:szCs w:val="26"/>
          <w:rtl/>
        </w:rPr>
        <w:t xml:space="preserve">Implementation &amp; Approval Guide</w:t>
      </w:r>
    </w:p>
    <w:p>
      <w:pPr>
        <w:spacing w:before="2400"/>
        <w:jc w:val="center"/>
      </w:pPr>
      <w:r>
        <w:rPr>
          <w:color w:val="374151"/>
          <w:sz w:val="22"/>
          <w:szCs w:val="22"/>
          <w:rtl/>
        </w:rPr>
        <w:t xml:space="preserve">رقم الوثيقة: GOV-GDE-000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الإصدار: 1.0     |     تاريخ الاعتماد: ______ / ______ / 20___هـ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الجهة المعتمِدة: مجلس الأمناء</w:t>
      </w:r>
    </w:p>
    <w:p>
      <w:pPr>
        <w:pageBreakBefore/>
      </w:pPr>
      <w:r>
        <w:br/>
        <w:t xml:space="preserve"/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١. مقدمة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يوضّح هذا الدليل كيفية اعتماد سياسات المؤسسة الثمانية وتطبيقها وتوزيعها، وضمان التزام جميع المنسوبين بها، بما يتوافق مع متطلبات مقياس الحوكمة للمركز الوطني لتنمية القطاع غير الربحي.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٢. خطوات الاعتماد الرسمي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مراجعة كل وثيقة من قِبل المدير التنفيذي والمستشار القانوني.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عرض الوثائق على لجنة الحوكمة لإبداء الرأي.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رفعها إلى مجلس الأمناء لاعتمادها في اجتماع رسمي.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توقيع نسخة أصلية من كل وثيقة وحفظها في الأرشيف الرئيسي.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تسجيلها في سجل الوثائق المعتمَدة (Document Register).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٣. النشر والتوزيع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رفع نسخة PDF على الموقع الإلكتروني ضمن صفحة الحوكمة (/governance).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إرسال نسخة إلكترونية لجميع المنسوبين مع نموذج إقرار الاطلاع.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إدراجها ضمن ملف التوجيه للموظفين الجدد (Onboarding Pack).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عرض الملخصات على الشاشات الداخلية ولوحات الإعلانات.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٤. التدريب والتوعية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عقد ورشة تعريفية إلزامية لجميع المنسوبين خلال 30 يوماً من الاعتماد.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دورة تنشيطية سنوية لجميع الموظفين.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تدريب متخصص لأعضاء المجلس واللجان على ميثاق الحوكمة.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٥. المراجعة والتحديث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تُراجَع جميع السياسات سنوياً من قِبل لجنة الحوكمة.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تُعدَّل عند صدور أي تشريع أو نظام جديد ذي علاقة.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يُوثَّق كل تعديل برقم إصدار جديد وتاريخ اعتماد.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٦. الاستفادة من الوثائق في التقديم للجوائز والشهادات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مقياس الحوكمة (المركز الوطني للقطاع غير الربحي) – ترفَع مباشرة كمرفقات.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جائزة الملك خالد للتميز الاجتماعي – محور الحوكمة والامتثال.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شهادة ISO 9001 – الجودة والتوثيق.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شهادة ISO 27001 – أمن المعلومات (مع سياسة الخصوصية).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التصنيف الائتماني للجمعيات (المركز الوطني).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٧. قائمة الوثائق المعتمَدة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GOV-POL-001 – لائحة الحوكمة.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GOV-POL-002 – سياسة تعارض المصالح.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GOV-POL-003 – سياسة حماية المُبلِّغين.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GOV-CHR-004 – ميثاق مجلس الأمناء.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GOV-POL-005 – سياسة الخصوصية وحماية البيانات.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GOV-POL-006 – مدونة السلوك الوظيفي.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GOV-POL-007 – سياسة إدارة المخاطر.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GOV-POL-008 – سياسة الاحتفاظ بالسجلات وإتلافها.</w:t>
      </w:r>
    </w:p>
    <w:p>
      <w:pPr>
        <w:pBdr>
          <w:bottom w:val="single" w:color="B08D3A" w:sz="8" w:space="6"/>
        </w:pBdr>
        <w:spacing w:after="200" w:before="100"/>
      </w:pPr>
    </w:p>
    <w:p>
      <w:pPr>
        <w:pStyle w:val="Heading2"/>
        <w:bidi/>
        <w:jc w:val="right"/>
      </w:pPr>
      <w:r>
        <w:rPr>
          <w:b/>
          <w:bCs/>
          <w:rtl/>
        </w:rPr>
        <w:t xml:space="preserve">اعتماد وتوقيع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اعتُمدت هذه الوثيقة من مجلس أمناء المؤسسة وتصبح سارية من تاريخ التوقيع أدناه، وتخضع للمراجعة سنوياً أو عند أي تغيير جوهري.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مجلس الأمناء: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المدير التنفيذي:    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لجنة المراجعة: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التاريخ:              ______ / ______ / 20___هـ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08D3A" w:sz="6" w:space="4"/>
      </w:pBdr>
      <w:jc w:val="center"/>
    </w:pPr>
    <w:r>
      <w:rPr>
        <w:color w:val="6B7280"/>
        <w:sz w:val="18"/>
        <w:szCs w:val="18"/>
        <w:rtl/>
      </w:rPr>
      <w:t xml:space="preserve">صفحة </w:t>
    </w:r>
    <w:r>
      <w:rPr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  <w:rtl/>
      </w:rPr>
      <w:t xml:space="preserve"> من </w:t>
    </w:r>
    <w:r>
      <w:rPr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66534" w:sz="6" w:space="4"/>
      </w:pBdr>
      <w:bidi/>
      <w:jc w:val="right"/>
    </w:pPr>
    <w:r>
      <w:rPr>
        <w:b/>
        <w:bCs/>
        <w:color w:val="166534"/>
        <w:sz w:val="18"/>
        <w:szCs w:val="18"/>
        <w:rtl/>
      </w:rPr>
      <w:t xml:space="preserve">مؤسسة خالد بن فهد البعيز الخيرية  •  الحوكمة والسياسات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jc w:val="right"/>
      <w:outlineLvl w:val="0"/>
    </w:pPr>
    <w:rPr>
      <w:rFonts w:ascii="Arial" w:cs="Arial" w:eastAsia="Arial" w:hAnsi="Arial"/>
      <w:b/>
      <w:bCs/>
      <w:color w:val="166534"/>
      <w:sz w:val="34"/>
      <w:szCs w:val="34"/>
      <w:rtl/>
    </w:rPr>
  </w:style>
  <w:style w:type="paragraph" w:styleId="Heading2">
    <w:name w:val="Heading 2"/>
    <w:basedOn w:val="Normal"/>
    <w:next w:val="Normal"/>
    <w:qFormat/>
    <w:pPr>
      <w:spacing w:after="140" w:before="240"/>
      <w:jc w:val="right"/>
      <w:outlineLvl w:val="1"/>
    </w:pPr>
    <w:rPr>
      <w:rFonts w:ascii="Arial" w:cs="Arial" w:eastAsia="Arial" w:hAnsi="Arial"/>
      <w:b/>
      <w:bCs/>
      <w:color w:val="166534"/>
      <w:sz w:val="28"/>
      <w:szCs w:val="28"/>
      <w:rtl/>
    </w:rPr>
  </w:style>
  <w:style w:type="paragraph" w:styleId="Heading3">
    <w:name w:val="Heading 3"/>
    <w:basedOn w:val="Normal"/>
    <w:next w:val="Normal"/>
    <w:qFormat/>
    <w:pPr>
      <w:spacing w:after="100" w:before="160"/>
      <w:jc w:val="right"/>
      <w:outlineLvl w:val="2"/>
    </w:pPr>
    <w:rPr>
      <w:rFonts w:ascii="Arial" w:cs="Arial" w:eastAsia="Arial" w:hAnsi="Arial"/>
      <w:b/>
      <w:bCs/>
      <w:color w:val="374151"/>
      <w:sz w:val="24"/>
      <w:szCs w:val="24"/>
      <w:rtl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2026-07-19T12:00:10.245Z</dcterms:created>
  <dcterms:modified xsi:type="dcterms:W3CDTF">2026-07-19T12:00:10.246Z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