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20"/>
        <w:jc w:val="center"/>
      </w:pPr>
      <w:r>
        <w:rPr>
          <w:rFonts w:ascii="Arial" w:cs="Arial" w:eastAsia="Arial" w:hAnsi="Arial"/>
          <w:b/>
          <w:bCs/>
          <w:sz w:val="28"/>
          <w:szCs w:val="28"/>
        </w:rPr>
        <w:t xml:space="preserve">بسم الله الرحمن الرحيم</w:t>
      </w:r>
    </w:p>
    <w:p>
      <w:pPr>
        <w:bidi/>
        <w:spacing w:after="360"/>
        <w:jc w:val="center"/>
      </w:pPr>
      <w:r>
        <w:rPr>
          <w:rFonts w:ascii="Arial" w:cs="Arial" w:eastAsia="Arial" w:hAnsi="Arial"/>
          <w:b/>
          <w:bCs/>
          <w:color w:val="1F5F3F"/>
          <w:sz w:val="32"/>
          <w:szCs w:val="32"/>
        </w:rPr>
        <w:t xml:space="preserve">مذكرة عرض على مجلس الأمناء الموقّر</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9"/>
        <w:gridCol w:w="6017"/>
      </w:tblGrid>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رقم المذكرة</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BM-2026-001</w:t>
            </w:r>
          </w:p>
        </w:tc>
      </w:tr>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التاريخ</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 1447هـ  —  ......../ ......../ 2026م</w:t>
            </w:r>
          </w:p>
        </w:tc>
      </w:tr>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مقدّم المذكرة</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المدير التنفيذي — د. أحمد المنصور</w:t>
            </w:r>
          </w:p>
        </w:tc>
      </w:tr>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الجهة المرفوعة إليها</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مجلس أمناء مؤسسة خالد بن فهد البعيز الخيرية</w:t>
            </w:r>
          </w:p>
        </w:tc>
      </w:tr>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الموضوع</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طلب اعتماد حزمة السياسات المؤسسية التسع (9)</w:t>
            </w:r>
          </w:p>
        </w:tc>
      </w:tr>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التصنيف</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قرار استراتيجي — اعتماد</w:t>
            </w:r>
          </w:p>
        </w:tc>
      </w:tr>
    </w:tbl>
    <w:p>
      <w:pPr>
        <w:pStyle w:val="Heading1"/>
        <w:bidi/>
        <w:spacing w:after="120" w:before="240"/>
        <w:jc w:val="right"/>
      </w:pPr>
      <w:r>
        <w:rPr>
          <w:rFonts w:ascii="Arial" w:cs="Arial" w:eastAsia="Arial" w:hAnsi="Arial"/>
          <w:b/>
          <w:bCs/>
          <w:color w:val="1F5F3F"/>
          <w:sz w:val="32"/>
          <w:szCs w:val="32"/>
        </w:rPr>
        <w:t xml:space="preserve">أولاً: الخلفية</w:t>
      </w:r>
    </w:p>
    <w:p>
      <w:pPr>
        <w:bidi/>
        <w:spacing w:after="120"/>
        <w:jc w:val="right"/>
      </w:pPr>
      <w:r>
        <w:rPr>
          <w:rFonts w:ascii="Arial" w:cs="Arial" w:eastAsia="Arial" w:hAnsi="Arial"/>
          <w:sz w:val="24"/>
          <w:szCs w:val="24"/>
        </w:rPr>
        <w:t xml:space="preserve">انطلاقاً من رؤية المؤسسة في تحقيق التميّز المؤسسي، والتزاماً بمتطلبات المركز الوطني لتنمية القطاع غير الربحي، ومعايير مقياس للحوكمة، ومتطلبات جائزة الملك خالد للتميّز غير الربحي؛ أنجزت الإدارة التنفيذية إعداد حزمة متكاملة من السياسات المؤسسية تُشكّل الأساس التشريعي والحوكمي لعمل المؤسسة.</w:t>
      </w:r>
    </w:p>
    <w:p>
      <w:pPr>
        <w:bidi/>
        <w:spacing w:after="120"/>
        <w:jc w:val="right"/>
      </w:pPr>
      <w:r>
        <w:rPr>
          <w:rFonts w:ascii="Arial" w:cs="Arial" w:eastAsia="Arial" w:hAnsi="Arial"/>
          <w:sz w:val="24"/>
          <w:szCs w:val="24"/>
        </w:rPr>
        <w:t xml:space="preserve">تُعرض هذه الحزمة اليوم على مجلس الأمناء الموقّر لاعتمادها رسمياً بوصفها الوثائق المرجعية المُلزِمة لجميع منسوبي المؤسسة.</w:t>
      </w:r>
    </w:p>
    <w:p>
      <w:pPr>
        <w:pStyle w:val="Heading1"/>
        <w:bidi/>
        <w:spacing w:after="120" w:before="240"/>
        <w:jc w:val="right"/>
      </w:pPr>
      <w:r>
        <w:rPr>
          <w:rFonts w:ascii="Arial" w:cs="Arial" w:eastAsia="Arial" w:hAnsi="Arial"/>
          <w:b/>
          <w:bCs/>
          <w:color w:val="1F5F3F"/>
          <w:sz w:val="32"/>
          <w:szCs w:val="32"/>
        </w:rPr>
        <w:t xml:space="preserve">ثانياً: السياسات المطلوب اعتمادها</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3200"/>
        <w:gridCol w:w="5126"/>
      </w:tblGrid>
      <w:tr>
        <w:trPr>
          <w:tblHeader/>
        </w:trPr>
        <w:tc>
          <w:tcPr>
            <w:tcW w:type="dxa" w:w="700"/>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م</w:t>
            </w:r>
          </w:p>
        </w:tc>
        <w:tc>
          <w:tcPr>
            <w:tcW w:type="dxa" w:w="3200"/>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اسم السياسة</w:t>
            </w:r>
          </w:p>
        </w:tc>
        <w:tc>
          <w:tcPr>
            <w:tcW w:type="dxa" w:w="5126"/>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الغرض</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1</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لائحة الحوكمة المؤسسية</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الإطار الشامل لعمل المجلس واللجان والإدارة التنفيذية</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2</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تعارض المصالح</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الإفصاح والوقاية من التعارض في اتخاذ القرارات</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3</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حماية المبلغين</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قناة إبلاغ آمنة وحماية للمبلغين بحسن نية</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4</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ميثاق مجلس الأمناء</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الصلاحيات والمسؤوليات ونظام الاجتماعات</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5</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إدارة المخاطر</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تحديد المخاطر وتقييمها ومعالجتها</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6</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الاستثمار</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ضوابط استثمار أصول المؤسسة وحفظها</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7</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حماية البيانات والخصوصية</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التوافق مع نظام حماية البيانات الشخصية (سدايا)</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8</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ميثاق حقوق المستفيدين</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الحقوق الثمانية للمستفيدين والتزاماتهم</w:t>
            </w:r>
          </w:p>
        </w:tc>
      </w:tr>
      <w:tr>
        <w:tc>
          <w:tcPr>
            <w:tcW w:type="dxa" w:w="7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9</w:t>
            </w:r>
          </w:p>
        </w:tc>
        <w:tc>
          <w:tcPr>
            <w:tcW w:type="dxa" w:w="32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سياسة مكافحة الاحتيال وغسل الأموال</w:t>
            </w:r>
          </w:p>
        </w:tc>
        <w:tc>
          <w:tcPr>
            <w:tcW w:type="dxa" w:w="51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التزام صفري تجاه الاحتيال والفساد المالي</w:t>
            </w:r>
          </w:p>
        </w:tc>
      </w:tr>
    </w:tbl>
    <w:p>
      <w:pPr>
        <w:pStyle w:val="Heading1"/>
        <w:bidi/>
        <w:spacing w:after="120" w:before="240"/>
        <w:jc w:val="right"/>
      </w:pPr>
      <w:r>
        <w:rPr>
          <w:rFonts w:ascii="Arial" w:cs="Arial" w:eastAsia="Arial" w:hAnsi="Arial"/>
          <w:b/>
          <w:bCs/>
          <w:color w:val="1F5F3F"/>
          <w:sz w:val="32"/>
          <w:szCs w:val="32"/>
        </w:rPr>
        <w:t xml:space="preserve">ثالثاً: مبررات الاعتماد</w:t>
      </w:r>
    </w:p>
    <w:p>
      <w:pPr>
        <w:pStyle w:val="ListParagraph"/>
        <w:numPr>
          <w:ilvl w:val="0"/>
          <w:numId w:val="2"/>
        </w:numPr>
        <w:bidi/>
        <w:jc w:val="right"/>
      </w:pPr>
      <w:r>
        <w:rPr>
          <w:rFonts w:ascii="Arial" w:cs="Arial" w:eastAsia="Arial" w:hAnsi="Arial"/>
          <w:sz w:val="24"/>
          <w:szCs w:val="24"/>
        </w:rPr>
        <w:t xml:space="preserve">استيفاء متطلبات التسجيل والتقييم لدى الجهات التنظيمية الرسمية.</w:t>
      </w:r>
    </w:p>
    <w:p>
      <w:pPr>
        <w:pStyle w:val="ListParagraph"/>
        <w:numPr>
          <w:ilvl w:val="0"/>
          <w:numId w:val="2"/>
        </w:numPr>
        <w:bidi/>
        <w:jc w:val="right"/>
      </w:pPr>
      <w:r>
        <w:rPr>
          <w:rFonts w:ascii="Arial" w:cs="Arial" w:eastAsia="Arial" w:hAnsi="Arial"/>
          <w:sz w:val="24"/>
          <w:szCs w:val="24"/>
        </w:rPr>
        <w:t xml:space="preserve">تأهيل المؤسسة للترشح لجائزة الملك خالد للتميّز غير الربحي وتقييم مقياس.</w:t>
      </w:r>
    </w:p>
    <w:p>
      <w:pPr>
        <w:pStyle w:val="ListParagraph"/>
        <w:numPr>
          <w:ilvl w:val="0"/>
          <w:numId w:val="2"/>
        </w:numPr>
        <w:bidi/>
        <w:jc w:val="right"/>
      </w:pPr>
      <w:r>
        <w:rPr>
          <w:rFonts w:ascii="Arial" w:cs="Arial" w:eastAsia="Arial" w:hAnsi="Arial"/>
          <w:sz w:val="24"/>
          <w:szCs w:val="24"/>
        </w:rPr>
        <w:t xml:space="preserve">تعزيز الشفافية والمساءلة أمام المتبرعين والمستفيدين والمجتمع.</w:t>
      </w:r>
    </w:p>
    <w:p>
      <w:pPr>
        <w:pStyle w:val="ListParagraph"/>
        <w:numPr>
          <w:ilvl w:val="0"/>
          <w:numId w:val="2"/>
        </w:numPr>
        <w:bidi/>
        <w:jc w:val="right"/>
      </w:pPr>
      <w:r>
        <w:rPr>
          <w:rFonts w:ascii="Arial" w:cs="Arial" w:eastAsia="Arial" w:hAnsi="Arial"/>
          <w:sz w:val="24"/>
          <w:szCs w:val="24"/>
        </w:rPr>
        <w:t xml:space="preserve">توحيد ممارسات العمل وضبط اتخاذ القرار على مستوى المجلس والإدارة التنفيذية.</w:t>
      </w:r>
    </w:p>
    <w:p>
      <w:pPr>
        <w:pStyle w:val="ListParagraph"/>
        <w:numPr>
          <w:ilvl w:val="0"/>
          <w:numId w:val="2"/>
        </w:numPr>
        <w:bidi/>
        <w:jc w:val="right"/>
      </w:pPr>
      <w:r>
        <w:rPr>
          <w:rFonts w:ascii="Arial" w:cs="Arial" w:eastAsia="Arial" w:hAnsi="Arial"/>
          <w:sz w:val="24"/>
          <w:szCs w:val="24"/>
        </w:rPr>
        <w:t xml:space="preserve">حماية سمعة المؤسسة وأصولها من مخاطر الحوكمة والامتثال.</w:t>
      </w:r>
    </w:p>
    <w:p>
      <w:pPr>
        <w:pStyle w:val="Heading1"/>
        <w:bidi/>
        <w:spacing w:after="120" w:before="240"/>
        <w:jc w:val="right"/>
      </w:pPr>
      <w:r>
        <w:rPr>
          <w:rFonts w:ascii="Arial" w:cs="Arial" w:eastAsia="Arial" w:hAnsi="Arial"/>
          <w:b/>
          <w:bCs/>
          <w:color w:val="1F5F3F"/>
          <w:sz w:val="32"/>
          <w:szCs w:val="32"/>
        </w:rPr>
        <w:t xml:space="preserve">رابعاً: الأثر المتوقع</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9"/>
        <w:gridCol w:w="6017"/>
      </w:tblGrid>
      <w:tr>
        <w:tc>
          <w:tcPr>
            <w:tcW w:type="dxa" w:w="3009"/>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المحور</w:t>
            </w:r>
          </w:p>
        </w:tc>
        <w:tc>
          <w:tcPr>
            <w:tcW w:type="dxa" w:w="6017"/>
            <w:tcBorders>
              <w:top w:val="single" w:color="1F5F3F" w:sz="6"/>
              <w:left w:val="single" w:color="1F5F3F" w:sz="6"/>
              <w:bottom w:val="single" w:color="1F5F3F" w:sz="6"/>
              <w:right w:val="single" w:color="1F5F3F" w:sz="6"/>
            </w:tcBorders>
            <w:shd w:fill="E8F3EC" w:val="clear"/>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الأثر</w:t>
            </w:r>
          </w:p>
        </w:tc>
      </w:tr>
      <w:tr>
        <w:tc>
          <w:tcPr>
            <w:tcW w:type="dxa" w:w="3009"/>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الحوكمة</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رفع تقييم مقياس إلى المستوى المتقدم خلال 12 شهراً</w:t>
            </w:r>
          </w:p>
        </w:tc>
      </w:tr>
      <w:tr>
        <w:tc>
          <w:tcPr>
            <w:tcW w:type="dxa" w:w="3009"/>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المخاطر</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تقليل المخاطر التشغيلية والمالية بنسبة تقديرية 60%</w:t>
            </w:r>
          </w:p>
        </w:tc>
      </w:tr>
      <w:tr>
        <w:tc>
          <w:tcPr>
            <w:tcW w:type="dxa" w:w="3009"/>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الشفافية</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تلبية معايير الإفصاح لمنصات إحسان والمركز الوطني</w:t>
            </w:r>
          </w:p>
        </w:tc>
      </w:tr>
      <w:tr>
        <w:tc>
          <w:tcPr>
            <w:tcW w:type="dxa" w:w="3009"/>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الجوائز</w:t>
            </w:r>
          </w:p>
        </w:tc>
        <w:tc>
          <w:tcPr>
            <w:tcW w:type="dxa" w:w="6017"/>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تأهّل الترشح لجائزة الملك خالد للدورة القادمة</w:t>
            </w:r>
          </w:p>
        </w:tc>
      </w:tr>
    </w:tbl>
    <w:p>
      <w:pPr>
        <w:pStyle w:val="Heading1"/>
        <w:bidi/>
        <w:spacing w:after="120" w:before="240"/>
        <w:jc w:val="right"/>
      </w:pPr>
      <w:r>
        <w:rPr>
          <w:rFonts w:ascii="Arial" w:cs="Arial" w:eastAsia="Arial" w:hAnsi="Arial"/>
          <w:b/>
          <w:bCs/>
          <w:color w:val="1F5F3F"/>
          <w:sz w:val="32"/>
          <w:szCs w:val="32"/>
        </w:rPr>
        <w:t xml:space="preserve">خامساً: خطة التطبيق بعد الاعتماد</w:t>
      </w:r>
    </w:p>
    <w:p>
      <w:pPr>
        <w:pStyle w:val="ListParagraph"/>
        <w:numPr>
          <w:ilvl w:val="0"/>
          <w:numId w:val="2"/>
        </w:numPr>
        <w:bidi/>
        <w:jc w:val="right"/>
      </w:pPr>
      <w:r>
        <w:rPr>
          <w:rFonts w:ascii="Arial" w:cs="Arial" w:eastAsia="Arial" w:hAnsi="Arial"/>
          <w:sz w:val="24"/>
          <w:szCs w:val="24"/>
        </w:rPr>
        <w:t xml:space="preserve">نشر السياسات على الموقع الإلكتروني الرسمي للمؤسسة خلال (7) أيام.</w:t>
      </w:r>
    </w:p>
    <w:p>
      <w:pPr>
        <w:pStyle w:val="ListParagraph"/>
        <w:numPr>
          <w:ilvl w:val="0"/>
          <w:numId w:val="2"/>
        </w:numPr>
        <w:bidi/>
        <w:jc w:val="right"/>
      </w:pPr>
      <w:r>
        <w:rPr>
          <w:rFonts w:ascii="Arial" w:cs="Arial" w:eastAsia="Arial" w:hAnsi="Arial"/>
          <w:sz w:val="24"/>
          <w:szCs w:val="24"/>
        </w:rPr>
        <w:t xml:space="preserve">عقد ورشة تعريفية لمنسوبي المؤسسة خلال (30) يوماً.</w:t>
      </w:r>
    </w:p>
    <w:p>
      <w:pPr>
        <w:pStyle w:val="ListParagraph"/>
        <w:numPr>
          <w:ilvl w:val="0"/>
          <w:numId w:val="2"/>
        </w:numPr>
        <w:bidi/>
        <w:jc w:val="right"/>
      </w:pPr>
      <w:r>
        <w:rPr>
          <w:rFonts w:ascii="Arial" w:cs="Arial" w:eastAsia="Arial" w:hAnsi="Arial"/>
          <w:sz w:val="24"/>
          <w:szCs w:val="24"/>
        </w:rPr>
        <w:t xml:space="preserve">توقيع إقرارات الالتزام من جميع أعضاء المجلس واللجان والفريق التنفيذي.</w:t>
      </w:r>
    </w:p>
    <w:p>
      <w:pPr>
        <w:pStyle w:val="ListParagraph"/>
        <w:numPr>
          <w:ilvl w:val="0"/>
          <w:numId w:val="2"/>
        </w:numPr>
        <w:bidi/>
        <w:jc w:val="right"/>
      </w:pPr>
      <w:r>
        <w:rPr>
          <w:rFonts w:ascii="Arial" w:cs="Arial" w:eastAsia="Arial" w:hAnsi="Arial"/>
          <w:sz w:val="24"/>
          <w:szCs w:val="24"/>
        </w:rPr>
        <w:t xml:space="preserve">مراجعة السياسات دورياً كل (12) شهراً، أو عند وجود مستجدات تنظيمية.</w:t>
      </w:r>
    </w:p>
    <w:p>
      <w:pPr>
        <w:pStyle w:val="Heading1"/>
        <w:bidi/>
        <w:spacing w:after="120" w:before="240"/>
        <w:jc w:val="right"/>
      </w:pPr>
      <w:r>
        <w:rPr>
          <w:rFonts w:ascii="Arial" w:cs="Arial" w:eastAsia="Arial" w:hAnsi="Arial"/>
          <w:b/>
          <w:bCs/>
          <w:color w:val="1F5F3F"/>
          <w:sz w:val="32"/>
          <w:szCs w:val="32"/>
        </w:rPr>
        <w:t xml:space="preserve">سادساً: التوصية</w:t>
      </w:r>
    </w:p>
    <w:p>
      <w:pPr>
        <w:pBdr>
          <w:left w:val="single" w:color="1F5F3F" w:sz="24" w:space="8"/>
        </w:pBdr>
        <w:shd w:fill="F0F7F2" w:val="clear"/>
        <w:bidi/>
        <w:spacing w:after="120"/>
        <w:jc w:val="right"/>
      </w:pPr>
      <w:r>
        <w:rPr>
          <w:rFonts w:ascii="Arial" w:cs="Arial" w:eastAsia="Arial" w:hAnsi="Arial"/>
          <w:b/>
          <w:bCs/>
          <w:sz w:val="26"/>
          <w:szCs w:val="26"/>
        </w:rPr>
        <w:t xml:space="preserve">توصي الإدارة التنفيذية بـ اعتماد حزمة السياسات المؤسسية التسع (9) كاملةً، وتفويض المدير التنفيذي بالإجراءات التنفيذية اللازمة لتطبيقها ونشرها.</w:t>
      </w:r>
    </w:p>
    <w:p>
      <w:pPr>
        <w:pStyle w:val="Heading1"/>
        <w:bidi/>
        <w:spacing w:after="120" w:before="240"/>
        <w:jc w:val="right"/>
      </w:pPr>
      <w:r>
        <w:rPr>
          <w:rFonts w:ascii="Arial" w:cs="Arial" w:eastAsia="Arial" w:hAnsi="Arial"/>
          <w:b/>
          <w:bCs/>
          <w:color w:val="1F5F3F"/>
          <w:sz w:val="32"/>
          <w:szCs w:val="32"/>
        </w:rPr>
        <w:t xml:space="preserve">سابعاً: قرار المجلس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اعتماد كامل الحزمة       ☐  اعتماد جزئي (تُحدَّد أدناه)       ☐  إرجاء للمراجعة       ☐  عدم الاعتماد</w:t>
            </w:r>
          </w:p>
        </w:tc>
      </w:tr>
      <w:tr>
        <w:tc>
          <w:tcPr>
            <w:tcW w:type="dxa" w:w="9026"/>
            <w:tcBorders>
              <w:top w:val="single" w:color="1F5F3F" w:sz="6"/>
              <w:left w:val="single" w:color="1F5F3F" w:sz="6"/>
              <w:bottom w:val="single" w:color="1F5F3F" w:sz="6"/>
              <w:right w:val="single" w:color="1F5F3F" w:sz="6"/>
            </w:tcBorders>
            <w:tcMar>
              <w:top w:type="dxa" w:w="200"/>
              <w:left w:type="dxa" w:w="140"/>
              <w:bottom w:type="dxa" w:w="400"/>
              <w:right w:type="dxa" w:w="140"/>
            </w:tcMar>
          </w:tcPr>
          <w:p>
            <w:pPr>
              <w:bidi/>
              <w:spacing w:after="120"/>
              <w:jc w:val="right"/>
            </w:pPr>
            <w:r>
              <w:rPr>
                <w:rFonts w:ascii="Arial" w:cs="Arial" w:eastAsia="Arial" w:hAnsi="Arial"/>
                <w:sz w:val="24"/>
                <w:szCs w:val="24"/>
              </w:rPr>
              <w:t xml:space="preserve">ملاحظات المجلس:</w:t>
            </w:r>
          </w:p>
          <w:p>
            <w:pPr>
              <w:bidi/>
              <w:spacing w:after="120"/>
              <w:jc w:val="right"/>
            </w:pPr>
            <w:r>
              <w:rPr>
                <w:rFonts w:ascii="Arial" w:cs="Arial" w:eastAsia="Arial" w:hAnsi="Arial"/>
                <w:sz w:val="24"/>
                <w:szCs w:val="24"/>
              </w:rPr>
              <w:t xml:space="preserve"> </w:t>
            </w:r>
          </w:p>
          <w:p>
            <w:pPr>
              <w:bidi/>
              <w:spacing w:after="120"/>
              <w:jc w:val="right"/>
            </w:pPr>
            <w:r>
              <w:rPr>
                <w:rFonts w:ascii="Arial" w:cs="Arial" w:eastAsia="Arial" w:hAnsi="Arial"/>
                <w:sz w:val="24"/>
                <w:szCs w:val="24"/>
              </w:rPr>
              <w:t xml:space="preserve"> </w:t>
            </w:r>
          </w:p>
          <w:p>
            <w:pPr>
              <w:bidi/>
              <w:spacing w:after="120"/>
              <w:jc w:val="right"/>
            </w:pPr>
            <w:r>
              <w:rPr>
                <w:rFonts w:ascii="Arial" w:cs="Arial" w:eastAsia="Arial" w:hAnsi="Arial"/>
                <w:sz w:val="24"/>
                <w:szCs w:val="24"/>
              </w:rPr>
              <w:t xml:space="preserve"> </w:t>
            </w:r>
          </w:p>
        </w:tc>
      </w:tr>
    </w:tbl>
    <w:p>
      <w:pPr>
        <w:bidi/>
        <w:spacing w:before="400"/>
      </w:pPr>
      <w:r>
        <w:br w:type="page"/>
      </w:r>
    </w:p>
    <w:p>
      <w:pPr>
        <w:pStyle w:val="Heading1"/>
        <w:bidi/>
        <w:spacing w:after="120" w:before="240"/>
        <w:jc w:val="right"/>
      </w:pPr>
      <w:r>
        <w:rPr>
          <w:rFonts w:ascii="Arial" w:cs="Arial" w:eastAsia="Arial" w:hAnsi="Arial"/>
          <w:b/>
          <w:bCs/>
          <w:color w:val="1F5F3F"/>
          <w:sz w:val="32"/>
          <w:szCs w:val="32"/>
        </w:rPr>
        <w:t xml:space="preserve">توقيعات أعضاء مجلس الأمناء</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500"/>
        <w:gridCol w:w="2500"/>
        <w:gridCol w:w="2526"/>
      </w:tblGrid>
      <w:tr>
        <w:trPr>
          <w:tblHeader/>
        </w:trPr>
        <w:tc>
          <w:tcPr>
            <w:tcW w:type="dxa" w:w="500"/>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م</w:t>
            </w:r>
          </w:p>
        </w:tc>
        <w:tc>
          <w:tcPr>
            <w:tcW w:type="dxa" w:w="3500"/>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الاسم والصفة</w:t>
            </w:r>
          </w:p>
        </w:tc>
        <w:tc>
          <w:tcPr>
            <w:tcW w:type="dxa" w:w="2500"/>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التوقيع</w:t>
            </w:r>
          </w:p>
        </w:tc>
        <w:tc>
          <w:tcPr>
            <w:tcW w:type="dxa" w:w="2526"/>
            <w:tcBorders>
              <w:top w:val="single" w:color="1F5F3F" w:sz="6"/>
              <w:left w:val="single" w:color="1F5F3F" w:sz="6"/>
              <w:bottom w:val="single" w:color="1F5F3F" w:sz="6"/>
              <w:right w:val="single" w:color="1F5F3F" w:sz="6"/>
            </w:tcBorders>
            <w:shd w:fill="1F5F3F" w:val="clear"/>
            <w:tcMar>
              <w:top w:type="dxa" w:w="100"/>
              <w:left w:type="dxa" w:w="140"/>
              <w:bottom w:type="dxa" w:w="100"/>
              <w:right w:type="dxa" w:w="140"/>
            </w:tcMar>
          </w:tcPr>
          <w:p>
            <w:pPr>
              <w:bidi/>
              <w:jc w:val="right"/>
            </w:pPr>
            <w:r>
              <w:rPr>
                <w:rFonts w:ascii="Arial" w:cs="Arial" w:eastAsia="Arial" w:hAnsi="Arial"/>
                <w:b/>
                <w:bCs/>
                <w:color w:val="FFFFFF"/>
                <w:sz w:val="22"/>
                <w:szCs w:val="22"/>
              </w:rPr>
              <w:t xml:space="preserve">التاريخ</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1</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رئيس المجلس</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2</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نائب الرئيس</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3</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عضو</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4</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عضو</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5</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عضو</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6</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عضو</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r>
        <w:tc>
          <w:tcPr>
            <w:tcW w:type="dxa" w:w="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7</w:t>
            </w:r>
          </w:p>
        </w:tc>
        <w:tc>
          <w:tcPr>
            <w:tcW w:type="dxa" w:w="3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bCs/>
                <w:color w:val="000000"/>
                <w:sz w:val="22"/>
                <w:szCs w:val="22"/>
              </w:rPr>
              <w:t xml:space="preserve">عضو</w:t>
            </w:r>
          </w:p>
        </w:tc>
        <w:tc>
          <w:tcPr>
            <w:tcW w:type="dxa" w:w="2500"/>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c>
          <w:tcPr>
            <w:tcW w:type="dxa" w:w="2526"/>
            <w:tcBorders>
              <w:top w:val="single" w:color="1F5F3F" w:sz="6"/>
              <w:left w:val="single" w:color="1F5F3F" w:sz="6"/>
              <w:bottom w:val="single" w:color="1F5F3F" w:sz="6"/>
              <w:right w:val="single" w:color="1F5F3F" w:sz="6"/>
            </w:tcBorders>
            <w:tcMar>
              <w:top w:type="dxa" w:w="100"/>
              <w:left w:type="dxa" w:w="140"/>
              <w:bottom w:type="dxa" w:w="100"/>
              <w:right w:type="dxa" w:w="140"/>
            </w:tcMar>
          </w:tcPr>
          <w:p>
            <w:pPr>
              <w:bidi/>
              <w:jc w:val="right"/>
            </w:pPr>
            <w:r>
              <w:rPr>
                <w:rFonts w:ascii="Arial" w:cs="Arial" w:eastAsia="Arial" w:hAnsi="Arial"/>
                <w:b w:val="false"/>
                <w:bCs w:val="false"/>
                <w:color w:val="000000"/>
                <w:sz w:val="22"/>
                <w:szCs w:val="22"/>
              </w:rPr>
              <w:t xml:space="preserve"> </w:t>
            </w:r>
          </w:p>
        </w:tc>
      </w:tr>
    </w:tbl>
    <w:p>
      <w:pPr>
        <w:bidi/>
        <w:spacing w:before="400"/>
        <w:jc w:val="center"/>
      </w:pPr>
      <w:r>
        <w:rPr>
          <w:rFonts w:ascii="Arial" w:cs="Arial" w:eastAsia="Arial" w:hAnsi="Arial"/>
          <w:i/>
          <w:iCs/>
          <w:color w:val="808080"/>
          <w:sz w:val="22"/>
          <w:szCs w:val="22"/>
        </w:rPr>
        <w:t xml:space="preserve">— انتهت المذكرة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bidi/>
      <w:jc w:val="center"/>
    </w:pPr>
    <w:r>
      <w:rPr>
        <w:rFonts w:ascii="Arial" w:cs="Arial" w:eastAsia="Arial" w:hAnsi="Arial"/>
        <w:sz w:val="20"/>
        <w:szCs w:val="20"/>
      </w:rPr>
      <w:t xml:space="preserve">صفحة </w:t>
    </w:r>
    <w:r>
      <w:rPr>
        <w:rFonts w:ascii="Arial" w:cs="Arial" w:eastAsia="Arial" w:hAnsi="Arial"/>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5F3F" w:sz="8" w:space="4"/>
      </w:pBdr>
      <w:bidi/>
      <w:jc w:val="right"/>
    </w:pPr>
    <w:r>
      <w:rPr>
        <w:rFonts w:ascii="Arial" w:cs="Arial" w:eastAsia="Arial" w:hAnsi="Arial"/>
        <w:b/>
        <w:bCs/>
        <w:color w:val="1F5F3F"/>
        <w:sz w:val="20"/>
        <w:szCs w:val="20"/>
      </w:rPr>
      <w:t xml:space="preserve">مؤسسة خالد بن فهد البعيز الخيرية — سرّي / مذكرة داخلية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righ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5F3F"/>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1F5F3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مذكرة عرض على مجلس الأمناء — اعتماد السياسات المؤسسية</dc:title>
  <dc:creator>مؤسسة خالد بن فهد البعيز</dc:creator>
  <cp:lastModifiedBy>Un-named</cp:lastModifiedBy>
  <cp:revision>1</cp:revision>
  <dcterms:created xsi:type="dcterms:W3CDTF">2026-07-19T13:48:11.771Z</dcterms:created>
  <dcterms:modified xsi:type="dcterms:W3CDTF">2026-07-19T13:48:11.772Z</dcterms:modified>
</cp:coreProperties>
</file>

<file path=docProps/custom.xml><?xml version="1.0" encoding="utf-8"?>
<Properties xmlns="http://schemas.openxmlformats.org/officeDocument/2006/custom-properties" xmlns:vt="http://schemas.openxmlformats.org/officeDocument/2006/docPropsVTypes"/>
</file>