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jc w:val="center"/>
      </w:pPr>
      <w:r>
        <w:rPr>
          <w:b/>
          <w:bCs/>
          <w:color w:val="166534"/>
          <w:sz w:val="36"/>
          <w:szCs w:val="36"/>
          <w:rtl/>
        </w:rPr>
        <w:t xml:space="preserve">مؤسسة خالد بن فهد البعيز الخيرية</w:t>
      </w:r>
    </w:p>
    <w:p>
      <w:pPr>
        <w:spacing w:before="200"/>
        <w:jc w:val="center"/>
      </w:pPr>
      <w:r>
        <w:rPr>
          <w:color w:val="6B7280"/>
          <w:sz w:val="24"/>
          <w:szCs w:val="24"/>
        </w:rPr>
        <w:t xml:space="preserve">Khaled Bin Fahad Al-Buaijan Foundation</w:t>
      </w:r>
    </w:p>
    <w:p>
      <w:pPr>
        <w:pBdr>
          <w:bottom w:val="single" w:color="B08D3A" w:sz="8" w:space="6"/>
        </w:pBdr>
        <w:spacing w:after="200" w:before="100"/>
      </w:pPr>
    </w:p>
    <w:p>
      <w:pPr>
        <w:spacing w:before="800"/>
        <w:jc w:val="center"/>
      </w:pPr>
      <w:r>
        <w:rPr>
          <w:b/>
          <w:bCs/>
          <w:color w:val="166534"/>
          <w:sz w:val="52"/>
          <w:szCs w:val="52"/>
          <w:rtl/>
        </w:rPr>
        <w:t xml:space="preserve">لائحة الحوكمة</w:t>
      </w:r>
    </w:p>
    <w:p>
      <w:pPr>
        <w:spacing w:before="200"/>
        <w:jc w:val="center"/>
      </w:pPr>
      <w:r>
        <w:rPr>
          <w:color w:val="4B5563"/>
          <w:sz w:val="26"/>
          <w:szCs w:val="26"/>
          <w:rtl/>
        </w:rPr>
        <w:t xml:space="preserve">Governance Charter</w:t>
      </w:r>
    </w:p>
    <w:p>
      <w:pPr>
        <w:spacing w:before="2400"/>
        <w:jc w:val="center"/>
      </w:pPr>
      <w:r>
        <w:rPr>
          <w:color w:val="374151"/>
          <w:sz w:val="22"/>
          <w:szCs w:val="22"/>
          <w:rtl/>
        </w:rPr>
        <w:t xml:space="preserve">رقم الوثيقة: GOV-POL-001</w:t>
      </w:r>
    </w:p>
    <w:p>
      <w:pPr>
        <w:spacing w:before="100"/>
        <w:jc w:val="center"/>
      </w:pPr>
      <w:r>
        <w:rPr>
          <w:color w:val="374151"/>
          <w:sz w:val="22"/>
          <w:szCs w:val="22"/>
          <w:rtl/>
        </w:rPr>
        <w:t xml:space="preserve">الإصدار: 1.0     |     تاريخ الاعتماد: ______ / ______ / 20___هـ</w:t>
      </w:r>
    </w:p>
    <w:p>
      <w:pPr>
        <w:spacing w:before="100"/>
        <w:jc w:val="center"/>
      </w:pPr>
      <w:r>
        <w:rPr>
          <w:color w:val="374151"/>
          <w:sz w:val="22"/>
          <w:szCs w:val="22"/>
          <w:rtl/>
        </w:rPr>
        <w:t xml:space="preserve">الجهة المعتمِدة: مجلس الأمناء</w:t>
      </w:r>
    </w:p>
    <w:p>
      <w:pPr>
        <w:pageBreakBefore/>
      </w:pPr>
      <w:r>
        <w:br/>
        <w:t xml:space="preserve"/>
      </w:r>
    </w:p>
    <w:p>
      <w:pPr>
        <w:pStyle w:val="Heading2"/>
        <w:bidi/>
        <w:jc w:val="right"/>
      </w:pPr>
      <w:r>
        <w:rPr>
          <w:b/>
          <w:bCs/>
          <w:rtl/>
        </w:rPr>
        <w:t xml:space="preserve">المادة الأولى: التعريفات والنطاق</w:t>
      </w:r>
    </w:p>
    <w:p>
      <w:pPr>
        <w:bidi/>
        <w:spacing w:after="120" w:line="340"/>
        <w:jc w:val="right"/>
      </w:pPr>
      <w:r>
        <w:rPr>
          <w:b w:val="false"/>
          <w:bCs w:val="false"/>
          <w:rtl/>
        </w:rPr>
        <w:t xml:space="preserve">تسري هذه اللائحة على مجلس الأمناء ولجانه، والإدارة التنفيذية، وجميع منسوبي المؤسسة والمتعاونين معها. وتهدف إلى ترسيخ مبادئ الحوكمة الرشيدة بما يتوافق مع أنظمة المركز الوطني لتنمية القطاع غير الربحي ولائحة الحوكمة الاسترشادية للمؤسسات الأهلية.</w:t>
      </w:r>
    </w:p>
    <w:p>
      <w:pPr>
        <w:pStyle w:val="Heading2"/>
        <w:bidi/>
        <w:jc w:val="right"/>
      </w:pPr>
      <w:r>
        <w:rPr>
          <w:b/>
          <w:bCs/>
          <w:rtl/>
        </w:rPr>
        <w:t xml:space="preserve">المادة الثانية: مبادئ الحوكمة</w:t>
      </w:r>
    </w:p>
    <w:p>
      <w:pPr>
        <w:pStyle w:val="ListParagraph"/>
        <w:numPr>
          <w:ilvl w:val="0"/>
          <w:numId w:val="2"/>
        </w:numPr>
        <w:bidi/>
        <w:jc w:val="right"/>
      </w:pPr>
      <w:r>
        <w:rPr>
          <w:rtl/>
        </w:rPr>
        <w:t xml:space="preserve">الشفافية والإفصاح في جميع القرارات المالية والإدارية.</w:t>
      </w:r>
    </w:p>
    <w:p>
      <w:pPr>
        <w:pStyle w:val="ListParagraph"/>
        <w:numPr>
          <w:ilvl w:val="0"/>
          <w:numId w:val="2"/>
        </w:numPr>
        <w:bidi/>
        <w:jc w:val="right"/>
      </w:pPr>
      <w:r>
        <w:rPr>
          <w:rtl/>
        </w:rPr>
        <w:t xml:space="preserve">المساءلة والمحاسبة لكل صاحب مسؤولية.</w:t>
      </w:r>
    </w:p>
    <w:p>
      <w:pPr>
        <w:pStyle w:val="ListParagraph"/>
        <w:numPr>
          <w:ilvl w:val="0"/>
          <w:numId w:val="2"/>
        </w:numPr>
        <w:bidi/>
        <w:jc w:val="right"/>
      </w:pPr>
      <w:r>
        <w:rPr>
          <w:rtl/>
        </w:rPr>
        <w:t xml:space="preserve">العدالة والمساواة بين المستفيدين والمنسوبين.</w:t>
      </w:r>
    </w:p>
    <w:p>
      <w:pPr>
        <w:pStyle w:val="ListParagraph"/>
        <w:numPr>
          <w:ilvl w:val="0"/>
          <w:numId w:val="2"/>
        </w:numPr>
        <w:bidi/>
        <w:jc w:val="right"/>
      </w:pPr>
      <w:r>
        <w:rPr>
          <w:rtl/>
        </w:rPr>
        <w:t xml:space="preserve">الاستقلالية في اتخاذ القرار وتجنّب تعارض المصالح.</w:t>
      </w:r>
    </w:p>
    <w:p>
      <w:pPr>
        <w:pStyle w:val="ListParagraph"/>
        <w:numPr>
          <w:ilvl w:val="0"/>
          <w:numId w:val="2"/>
        </w:numPr>
        <w:bidi/>
        <w:jc w:val="right"/>
      </w:pPr>
      <w:r>
        <w:rPr>
          <w:rtl/>
        </w:rPr>
        <w:t xml:space="preserve">الالتزام بالنظام والأخلاقيات المهنية.</w:t>
      </w:r>
    </w:p>
    <w:p>
      <w:pPr>
        <w:pStyle w:val="Heading2"/>
        <w:bidi/>
        <w:jc w:val="right"/>
      </w:pPr>
      <w:r>
        <w:rPr>
          <w:b/>
          <w:bCs/>
          <w:rtl/>
        </w:rPr>
        <w:t xml:space="preserve">المادة الثالثة: مجلس الأمناء</w:t>
      </w:r>
    </w:p>
    <w:p>
      <w:pPr>
        <w:bidi/>
        <w:spacing w:after="120" w:line="340"/>
        <w:jc w:val="right"/>
      </w:pPr>
      <w:r>
        <w:rPr>
          <w:b w:val="false"/>
          <w:bCs w:val="false"/>
          <w:rtl/>
        </w:rPr>
        <w:t xml:space="preserve">يتكون مجلس الأمناء من عدد فردي لا يقل عن خمسة أعضاء ولا يزيد على أحد عشر عضواً، يُعيَّنون لمدة أربع سنوات قابلة للتجديد مرة واحدة. يجتمع المجلس مرتين على الأقل سنوياً، وتُوثَّق قراراته في سجل رسمي.</w:t>
      </w:r>
    </w:p>
    <w:p>
      <w:pPr>
        <w:pStyle w:val="Heading3"/>
        <w:bidi/>
        <w:jc w:val="right"/>
      </w:pPr>
      <w:r>
        <w:rPr>
          <w:b/>
          <w:bCs/>
          <w:rtl/>
        </w:rPr>
        <w:t xml:space="preserve">اختصاصات المجلس</w:t>
      </w:r>
    </w:p>
    <w:p>
      <w:pPr>
        <w:pStyle w:val="ListParagraph"/>
        <w:numPr>
          <w:ilvl w:val="0"/>
          <w:numId w:val="2"/>
        </w:numPr>
        <w:bidi/>
        <w:jc w:val="right"/>
      </w:pPr>
      <w:r>
        <w:rPr>
          <w:rtl/>
        </w:rPr>
        <w:t xml:space="preserve">اعتماد الاستراتيجية والخطط التشغيلية والموازنة السنوية.</w:t>
      </w:r>
    </w:p>
    <w:p>
      <w:pPr>
        <w:pStyle w:val="ListParagraph"/>
        <w:numPr>
          <w:ilvl w:val="0"/>
          <w:numId w:val="2"/>
        </w:numPr>
        <w:bidi/>
        <w:jc w:val="right"/>
      </w:pPr>
      <w:r>
        <w:rPr>
          <w:rtl/>
        </w:rPr>
        <w:t xml:space="preserve">اعتماد السياسات واللوائح الداخلية.</w:t>
      </w:r>
    </w:p>
    <w:p>
      <w:pPr>
        <w:pStyle w:val="ListParagraph"/>
        <w:numPr>
          <w:ilvl w:val="0"/>
          <w:numId w:val="2"/>
        </w:numPr>
        <w:bidi/>
        <w:jc w:val="right"/>
      </w:pPr>
      <w:r>
        <w:rPr>
          <w:rtl/>
        </w:rPr>
        <w:t xml:space="preserve">تعيين المدير التنفيذي وتقييم أدائه.</w:t>
      </w:r>
    </w:p>
    <w:p>
      <w:pPr>
        <w:pStyle w:val="ListParagraph"/>
        <w:numPr>
          <w:ilvl w:val="0"/>
          <w:numId w:val="2"/>
        </w:numPr>
        <w:bidi/>
        <w:jc w:val="right"/>
      </w:pPr>
      <w:r>
        <w:rPr>
          <w:rtl/>
        </w:rPr>
        <w:t xml:space="preserve">اعتماد التقرير السنوي والقوائم المالية المُدقَّقة.</w:t>
      </w:r>
    </w:p>
    <w:p>
      <w:pPr>
        <w:pStyle w:val="ListParagraph"/>
        <w:numPr>
          <w:ilvl w:val="0"/>
          <w:numId w:val="2"/>
        </w:numPr>
        <w:bidi/>
        <w:jc w:val="right"/>
      </w:pPr>
      <w:r>
        <w:rPr>
          <w:rtl/>
        </w:rPr>
        <w:t xml:space="preserve">تشكيل اللجان الدائمة والمؤقتة.</w:t>
      </w:r>
    </w:p>
    <w:p>
      <w:pPr>
        <w:pStyle w:val="Heading2"/>
        <w:bidi/>
        <w:jc w:val="right"/>
      </w:pPr>
      <w:r>
        <w:rPr>
          <w:b/>
          <w:bCs/>
          <w:rtl/>
        </w:rPr>
        <w:t xml:space="preserve">المادة الرابعة: اللجان الدائمة</w:t>
      </w:r>
    </w:p>
    <w:p>
      <w:pPr>
        <w:bidi/>
        <w:spacing w:after="120" w:line="340"/>
        <w:jc w:val="right"/>
      </w:pPr>
      <w:r>
        <w:rPr>
          <w:b w:val="false"/>
          <w:bCs w:val="false"/>
          <w:rtl/>
        </w:rPr>
        <w:t xml:space="preserve">تُشكَّل ثلاث لجان دائمة على الأقل: لجنة المراجعة والالتزام، لجنة الحوكمة والترشيحات، لجنة البرامج والمستفيدين. يُعتمد ميثاق مستقل لكل لجنة يحدد اختصاصاتها وآلية اجتماعاتها.</w:t>
      </w:r>
    </w:p>
    <w:p>
      <w:pPr>
        <w:pStyle w:val="Heading2"/>
        <w:bidi/>
        <w:jc w:val="right"/>
      </w:pPr>
      <w:r>
        <w:rPr>
          <w:b/>
          <w:bCs/>
          <w:rtl/>
        </w:rPr>
        <w:t xml:space="preserve">المادة الخامسة: المدير التنفيذي</w:t>
      </w:r>
    </w:p>
    <w:p>
      <w:pPr>
        <w:bidi/>
        <w:spacing w:after="120" w:line="340"/>
        <w:jc w:val="right"/>
      </w:pPr>
      <w:r>
        <w:rPr>
          <w:b w:val="false"/>
          <w:bCs w:val="false"/>
          <w:rtl/>
        </w:rPr>
        <w:t xml:space="preserve">يتولى المدير التنفيذي الإدارة اليومية للمؤسسة وتنفيذ قرارات المجلس، ويرفع تقارير دورية عن الأداء والمخاطر والامتثال، ويلتزم بعدم تجاوز صلاحياته المالية والإدارية المعتمدة.</w:t>
      </w:r>
    </w:p>
    <w:p>
      <w:pPr>
        <w:pStyle w:val="Heading2"/>
        <w:bidi/>
        <w:jc w:val="right"/>
      </w:pPr>
      <w:r>
        <w:rPr>
          <w:b/>
          <w:bCs/>
          <w:rtl/>
        </w:rPr>
        <w:t xml:space="preserve">المادة السادسة: تعارض المصالح</w:t>
      </w:r>
    </w:p>
    <w:p>
      <w:pPr>
        <w:bidi/>
        <w:spacing w:after="120" w:line="340"/>
        <w:jc w:val="right"/>
      </w:pPr>
      <w:r>
        <w:rPr>
          <w:b w:val="false"/>
          <w:bCs w:val="false"/>
          <w:rtl/>
        </w:rPr>
        <w:t xml:space="preserve">يلتزم كل عضو ومنسوب بتعبئة إقرار سنوي بتعارض المصالح، والإفصاح الفوري عن أي تعارض طارئ، والامتناع عن التصويت أو المشاركة في القرار محل التعارض.</w:t>
      </w:r>
    </w:p>
    <w:p>
      <w:pPr>
        <w:pStyle w:val="Heading2"/>
        <w:bidi/>
        <w:jc w:val="right"/>
      </w:pPr>
      <w:r>
        <w:rPr>
          <w:b/>
          <w:bCs/>
          <w:rtl/>
        </w:rPr>
        <w:t xml:space="preserve">المادة السابعة: الإفصاح والشفافية</w:t>
      </w:r>
    </w:p>
    <w:p>
      <w:pPr>
        <w:bidi/>
        <w:spacing w:after="120" w:line="340"/>
        <w:jc w:val="right"/>
      </w:pPr>
      <w:r>
        <w:rPr>
          <w:b w:val="false"/>
          <w:bCs w:val="false"/>
          <w:rtl/>
        </w:rPr>
        <w:t xml:space="preserve">تنشر المؤسسة على موقعها الإلكتروني: التقرير السنوي، القوائم المالية المُدقَّقة، أعضاء مجلس الأمناء ولجانه، مصادر التمويل الرئيسية، والسياسات المعتمدة.</w:t>
      </w:r>
    </w:p>
    <w:p>
      <w:pPr>
        <w:pStyle w:val="Heading2"/>
        <w:bidi/>
        <w:jc w:val="right"/>
      </w:pPr>
      <w:r>
        <w:rPr>
          <w:b/>
          <w:bCs/>
          <w:rtl/>
        </w:rPr>
        <w:t xml:space="preserve">المادة الثامنة: المراجعة والتعديل</w:t>
      </w:r>
    </w:p>
    <w:p>
      <w:pPr>
        <w:bidi/>
        <w:spacing w:after="120" w:line="340"/>
        <w:jc w:val="right"/>
      </w:pPr>
      <w:r>
        <w:rPr>
          <w:b w:val="false"/>
          <w:bCs w:val="false"/>
          <w:rtl/>
        </w:rPr>
        <w:t xml:space="preserve">تُراجَع هذه اللائحة سنوياً من قِبل لجنة الحوكمة، وتُرفع التعديلات لاعتماد مجلس الأمناء. تسري التعديلات من تاريخ الاعتماد.</w:t>
      </w:r>
    </w:p>
    <w:p>
      <w:pPr>
        <w:pBdr>
          <w:bottom w:val="single" w:color="B08D3A" w:sz="8" w:space="6"/>
        </w:pBdr>
        <w:spacing w:after="200" w:before="100"/>
      </w:pPr>
    </w:p>
    <w:p>
      <w:pPr>
        <w:pStyle w:val="Heading2"/>
        <w:bidi/>
        <w:jc w:val="right"/>
      </w:pPr>
      <w:r>
        <w:rPr>
          <w:b/>
          <w:bCs/>
          <w:rtl/>
        </w:rPr>
        <w:t xml:space="preserve">اعتماد وتوقيع</w:t>
      </w:r>
    </w:p>
    <w:p>
      <w:pPr>
        <w:bidi/>
        <w:spacing w:after="120" w:line="340"/>
        <w:jc w:val="right"/>
      </w:pPr>
      <w:r>
        <w:rPr>
          <w:b w:val="false"/>
          <w:bCs w:val="false"/>
          <w:rtl/>
        </w:rPr>
        <w:t xml:space="preserve">اعتُمدت هذه الوثيقة من مجلس أمناء المؤسسة وتصبح سارية من تاريخ التوقيع أدناه، وتخضع للمراجعة سنوياً أو عند أي تغيير جوهري.</w:t>
      </w:r>
    </w:p>
    <w:p>
      <w:pPr>
        <w:bidi/>
        <w:spacing w:after="120" w:line="340"/>
        <w:jc w:val="right"/>
      </w:pPr>
      <w:r>
        <w:rPr>
          <w:b w:val="false"/>
          <w:bCs w:val="false"/>
          <w:rtl/>
        </w:rPr>
        <w:t xml:space="preserve"> </w:t>
      </w:r>
    </w:p>
    <w:p>
      <w:pPr>
        <w:bidi/>
        <w:spacing w:after="120" w:line="340"/>
        <w:jc w:val="right"/>
      </w:pPr>
      <w:r>
        <w:rPr>
          <w:b/>
          <w:bCs/>
          <w:rtl/>
        </w:rPr>
        <w:t xml:space="preserve">رئيس مجلس الأمناء:  __________________________          التوقيع: __________________</w:t>
      </w:r>
    </w:p>
    <w:p>
      <w:pPr>
        <w:bidi/>
        <w:spacing w:after="120" w:line="340"/>
        <w:jc w:val="right"/>
      </w:pPr>
      <w:r>
        <w:rPr>
          <w:b/>
          <w:bCs/>
          <w:rtl/>
        </w:rPr>
        <w:t xml:space="preserve">المدير التنفيذي:      __________________________          التوقيع: __________________</w:t>
      </w:r>
    </w:p>
    <w:p>
      <w:pPr>
        <w:bidi/>
        <w:spacing w:after="120" w:line="340"/>
        <w:jc w:val="right"/>
      </w:pPr>
      <w:r>
        <w:rPr>
          <w:b/>
          <w:bCs/>
          <w:rtl/>
        </w:rPr>
        <w:t xml:space="preserve">رئيس لجنة المراجعة: __________________________          التوقيع: __________________</w:t>
      </w:r>
    </w:p>
    <w:p>
      <w:pPr>
        <w:bidi/>
        <w:spacing w:after="120" w:line="340"/>
        <w:jc w:val="right"/>
      </w:pPr>
      <w:r>
        <w:rPr>
          <w:b/>
          <w:bCs/>
          <w:rtl/>
        </w:rPr>
        <w:t xml:space="preserve">التاريخ:              ______ / ______ / 20___هـ</w:t>
      </w:r>
    </w:p>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08D3A" w:sz="6" w:space="4"/>
      </w:pBdr>
      <w:jc w:val="center"/>
    </w:pPr>
    <w:r>
      <w:rPr>
        <w:color w:val="6B7280"/>
        <w:sz w:val="18"/>
        <w:szCs w:val="18"/>
        <w:rtl/>
      </w:rPr>
      <w:t xml:space="preserve">صفحة </w:t>
    </w:r>
    <w:r>
      <w:rPr>
        <w:color w:val="6B7280"/>
        <w:sz w:val="18"/>
        <w:szCs w:val="18"/>
      </w:rPr>
      <w:fldChar w:fldCharType="begin"/>
      <w:instrText xml:space="preserve">PAGE</w:instrText>
      <w:fldChar w:fldCharType="separate"/>
      <w:fldChar w:fldCharType="end"/>
    </w:r>
    <w:r>
      <w:rPr>
        <w:color w:val="6B7280"/>
        <w:sz w:val="18"/>
        <w:szCs w:val="18"/>
        <w:rtl/>
      </w:rPr>
      <w:t xml:space="preserve"> من </w:t>
    </w:r>
    <w:r>
      <w:rPr>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66534" w:sz="6" w:space="4"/>
      </w:pBdr>
      <w:bidi/>
      <w:jc w:val="right"/>
    </w:pPr>
    <w:r>
      <w:rPr>
        <w:b/>
        <w:bCs/>
        <w:color w:val="166534"/>
        <w:sz w:val="18"/>
        <w:szCs w:val="18"/>
        <w:rtl/>
      </w:rPr>
      <w:t xml:space="preserve">مؤسسة خالد بن فهد البعيز الخيرية  •  الحوكمة والسياسات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right"/>
      <w:pPr>
        <w:ind w:righ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t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jc w:val="right"/>
      <w:outlineLvl w:val="0"/>
    </w:pPr>
    <w:rPr>
      <w:rFonts w:ascii="Arial" w:cs="Arial" w:eastAsia="Arial" w:hAnsi="Arial"/>
      <w:b/>
      <w:bCs/>
      <w:color w:val="166534"/>
      <w:sz w:val="34"/>
      <w:szCs w:val="34"/>
      <w:rtl/>
    </w:rPr>
  </w:style>
  <w:style w:type="paragraph" w:styleId="Heading2">
    <w:name w:val="Heading 2"/>
    <w:basedOn w:val="Normal"/>
    <w:next w:val="Normal"/>
    <w:qFormat/>
    <w:pPr>
      <w:spacing w:after="140" w:before="240"/>
      <w:jc w:val="right"/>
      <w:outlineLvl w:val="1"/>
    </w:pPr>
    <w:rPr>
      <w:rFonts w:ascii="Arial" w:cs="Arial" w:eastAsia="Arial" w:hAnsi="Arial"/>
      <w:b/>
      <w:bCs/>
      <w:color w:val="166534"/>
      <w:sz w:val="28"/>
      <w:szCs w:val="28"/>
      <w:rtl/>
    </w:rPr>
  </w:style>
  <w:style w:type="paragraph" w:styleId="Heading3">
    <w:name w:val="Heading 3"/>
    <w:basedOn w:val="Normal"/>
    <w:next w:val="Normal"/>
    <w:qFormat/>
    <w:pPr>
      <w:spacing w:after="100" w:before="160"/>
      <w:jc w:val="right"/>
      <w:outlineLvl w:val="2"/>
    </w:pPr>
    <w:rPr>
      <w:rFonts w:ascii="Arial" w:cs="Arial" w:eastAsia="Arial" w:hAnsi="Arial"/>
      <w:b/>
      <w:bCs/>
      <w:color w:val="374151"/>
      <w:sz w:val="24"/>
      <w:szCs w:val="24"/>
      <w:rtl/>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2026-07-19T12:00:10.358Z</dcterms:created>
  <dcterms:modified xsi:type="dcterms:W3CDTF">2026-07-19T12:00:10.358Z</dcterms:modified>
</cp:coreProperties>
</file>

<file path=docProps/custom.xml><?xml version="1.0" encoding="utf-8"?>
<Properties xmlns="http://schemas.openxmlformats.org/officeDocument/2006/custom-properties" xmlns:vt="http://schemas.openxmlformats.org/officeDocument/2006/docPropsVTypes"/>
</file>