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jc w:val="center"/>
      </w:pPr>
      <w:r>
        <w:rPr>
          <w:b/>
          <w:bCs/>
          <w:color w:val="166534"/>
          <w:sz w:val="36"/>
          <w:szCs w:val="36"/>
          <w:rtl/>
        </w:rPr>
        <w:t xml:space="preserve">مؤسسة خالد بن فهد البعيز الخيرية</w:t>
      </w:r>
    </w:p>
    <w:p>
      <w:pPr>
        <w:spacing w:before="200"/>
        <w:jc w:val="center"/>
      </w:pPr>
      <w:r>
        <w:rPr>
          <w:color w:val="6B7280"/>
          <w:sz w:val="24"/>
          <w:szCs w:val="24"/>
        </w:rPr>
        <w:t xml:space="preserve">Khaled Bin Fahad Al-Buaijan Foundation</w:t>
      </w:r>
    </w:p>
    <w:p>
      <w:pPr>
        <w:pBdr>
          <w:bottom w:val="single" w:color="B08D3A" w:sz="8" w:space="6"/>
        </w:pBdr>
        <w:spacing w:after="200" w:before="100"/>
      </w:pPr>
    </w:p>
    <w:p>
      <w:pPr>
        <w:spacing w:before="800"/>
        <w:jc w:val="center"/>
      </w:pPr>
      <w:r>
        <w:rPr>
          <w:b/>
          <w:bCs/>
          <w:color w:val="166534"/>
          <w:sz w:val="52"/>
          <w:szCs w:val="52"/>
          <w:rtl/>
        </w:rPr>
        <w:t xml:space="preserve">سياسة تعارض المصالح</w:t>
      </w:r>
    </w:p>
    <w:p>
      <w:pPr>
        <w:spacing w:before="200"/>
        <w:jc w:val="center"/>
      </w:pPr>
      <w:r>
        <w:rPr>
          <w:color w:val="4B5563"/>
          <w:sz w:val="26"/>
          <w:szCs w:val="26"/>
          <w:rtl/>
        </w:rPr>
        <w:t xml:space="preserve">Conflict of Interest Policy</w:t>
      </w:r>
    </w:p>
    <w:p>
      <w:pPr>
        <w:spacing w:before="2400"/>
        <w:jc w:val="center"/>
      </w:pPr>
      <w:r>
        <w:rPr>
          <w:color w:val="374151"/>
          <w:sz w:val="22"/>
          <w:szCs w:val="22"/>
          <w:rtl/>
        </w:rPr>
        <w:t xml:space="preserve">رقم الوثيقة: GOV-POL-002</w:t>
      </w:r>
    </w:p>
    <w:p>
      <w:pPr>
        <w:spacing w:before="100"/>
        <w:jc w:val="center"/>
      </w:pPr>
      <w:r>
        <w:rPr>
          <w:color w:val="374151"/>
          <w:sz w:val="22"/>
          <w:szCs w:val="22"/>
          <w:rtl/>
        </w:rPr>
        <w:t xml:space="preserve">الإصدار: 1.0     |     تاريخ الاعتماد: ______ / ______ / 20___هـ</w:t>
      </w:r>
    </w:p>
    <w:p>
      <w:pPr>
        <w:spacing w:before="100"/>
        <w:jc w:val="center"/>
      </w:pPr>
      <w:r>
        <w:rPr>
          <w:color w:val="374151"/>
          <w:sz w:val="22"/>
          <w:szCs w:val="22"/>
          <w:rtl/>
        </w:rPr>
        <w:t xml:space="preserve">الجهة المعتمِدة: مجلس الأمناء</w:t>
      </w:r>
    </w:p>
    <w:p>
      <w:pPr>
        <w:pageBreakBefore/>
      </w:pPr>
      <w:r>
        <w:br/>
        <w:t xml:space="preserve"/>
      </w:r>
    </w:p>
    <w:p>
      <w:pPr>
        <w:pStyle w:val="Heading2"/>
        <w:bidi/>
        <w:jc w:val="right"/>
      </w:pPr>
      <w:r>
        <w:rPr>
          <w:b/>
          <w:bCs/>
          <w:rtl/>
        </w:rPr>
        <w:t xml:space="preserve">١. الغرض والنطاق</w:t>
      </w:r>
    </w:p>
    <w:p>
      <w:pPr>
        <w:bidi/>
        <w:spacing w:after="120" w:line="340"/>
        <w:jc w:val="right"/>
      </w:pPr>
      <w:r>
        <w:rPr>
          <w:b w:val="false"/>
          <w:bCs w:val="false"/>
          <w:rtl/>
        </w:rPr>
        <w:t xml:space="preserve">تهدف هذه السياسة إلى حماية مصالح المؤسسة ومستفيديها من أي تأثير قد ينشأ عن مصلحة شخصية أو مالية لأحد أعضاء المجلس أو منسوبي المؤسسة أو المتعاونين معها، وتنطبق على جميع القرارات والعقود والتعاملات.</w:t>
      </w:r>
    </w:p>
    <w:p>
      <w:pPr>
        <w:pStyle w:val="Heading2"/>
        <w:bidi/>
        <w:jc w:val="right"/>
      </w:pPr>
      <w:r>
        <w:rPr>
          <w:b/>
          <w:bCs/>
          <w:rtl/>
        </w:rPr>
        <w:t xml:space="preserve">٢. تعريف تعارض المصالح</w:t>
      </w:r>
    </w:p>
    <w:p>
      <w:pPr>
        <w:bidi/>
        <w:spacing w:after="120" w:line="340"/>
        <w:jc w:val="right"/>
      </w:pPr>
      <w:r>
        <w:rPr>
          <w:b w:val="false"/>
          <w:bCs w:val="false"/>
          <w:rtl/>
        </w:rPr>
        <w:t xml:space="preserve">يُقصد به كل حالة يكون فيها للشخص، أو أحد أقاربه حتى الدرجة الرابعة، مصلحة مباشرة أو غير مباشرة قد تؤثر أو يُتصوَّر أنها تؤثر في موضوعية قراره أو أدائه لواجباته.</w:t>
      </w:r>
    </w:p>
    <w:p>
      <w:pPr>
        <w:pStyle w:val="Heading2"/>
        <w:bidi/>
        <w:jc w:val="right"/>
      </w:pPr>
      <w:r>
        <w:rPr>
          <w:b/>
          <w:bCs/>
          <w:rtl/>
        </w:rPr>
        <w:t xml:space="preserve">٣. أشكال التعارض</w:t>
      </w:r>
    </w:p>
    <w:p>
      <w:pPr>
        <w:pStyle w:val="ListParagraph"/>
        <w:numPr>
          <w:ilvl w:val="0"/>
          <w:numId w:val="2"/>
        </w:numPr>
        <w:bidi/>
        <w:jc w:val="right"/>
      </w:pPr>
      <w:r>
        <w:rPr>
          <w:rtl/>
        </w:rPr>
        <w:t xml:space="preserve">مصلحة مالية في جهة تتعامل مع المؤسسة (موردون، متعاقدون، مانحون).</w:t>
      </w:r>
    </w:p>
    <w:p>
      <w:pPr>
        <w:pStyle w:val="ListParagraph"/>
        <w:numPr>
          <w:ilvl w:val="0"/>
          <w:numId w:val="2"/>
        </w:numPr>
        <w:bidi/>
        <w:jc w:val="right"/>
      </w:pPr>
      <w:r>
        <w:rPr>
          <w:rtl/>
        </w:rPr>
        <w:t xml:space="preserve">علاقة قرابة أو صداقة مع أحد أطراف التعاقد أو المستفيدين.</w:t>
      </w:r>
    </w:p>
    <w:p>
      <w:pPr>
        <w:pStyle w:val="ListParagraph"/>
        <w:numPr>
          <w:ilvl w:val="0"/>
          <w:numId w:val="2"/>
        </w:numPr>
        <w:bidi/>
        <w:jc w:val="right"/>
      </w:pPr>
      <w:r>
        <w:rPr>
          <w:rtl/>
        </w:rPr>
        <w:t xml:space="preserve">العمل الموازي في جهة منافسة أو ذات علاقة.</w:t>
      </w:r>
    </w:p>
    <w:p>
      <w:pPr>
        <w:pStyle w:val="ListParagraph"/>
        <w:numPr>
          <w:ilvl w:val="0"/>
          <w:numId w:val="2"/>
        </w:numPr>
        <w:bidi/>
        <w:jc w:val="right"/>
      </w:pPr>
      <w:r>
        <w:rPr>
          <w:rtl/>
        </w:rPr>
        <w:t xml:space="preserve">قبول هدايا أو ضيافة تتجاوز الحد المسموح به.</w:t>
      </w:r>
    </w:p>
    <w:p>
      <w:pPr>
        <w:pStyle w:val="ListParagraph"/>
        <w:numPr>
          <w:ilvl w:val="0"/>
          <w:numId w:val="2"/>
        </w:numPr>
        <w:bidi/>
        <w:jc w:val="right"/>
      </w:pPr>
      <w:r>
        <w:rPr>
          <w:rtl/>
        </w:rPr>
        <w:t xml:space="preserve">استخدام معلومات المؤسسة لمصلحة شخصية.</w:t>
      </w:r>
    </w:p>
    <w:p>
      <w:pPr>
        <w:pStyle w:val="Heading2"/>
        <w:bidi/>
        <w:jc w:val="right"/>
      </w:pPr>
      <w:r>
        <w:rPr>
          <w:b/>
          <w:bCs/>
          <w:rtl/>
        </w:rPr>
        <w:t xml:space="preserve">٤. الالتزامات</w:t>
      </w:r>
    </w:p>
    <w:p>
      <w:pPr>
        <w:pStyle w:val="ListParagraph"/>
        <w:numPr>
          <w:ilvl w:val="0"/>
          <w:numId w:val="2"/>
        </w:numPr>
        <w:bidi/>
        <w:jc w:val="right"/>
      </w:pPr>
      <w:r>
        <w:rPr>
          <w:rtl/>
        </w:rPr>
        <w:t xml:space="preserve">تعبئة إقرار سنوي بتعارض المصالح خلال الشهر الأول من كل سنة مالية.</w:t>
      </w:r>
    </w:p>
    <w:p>
      <w:pPr>
        <w:pStyle w:val="ListParagraph"/>
        <w:numPr>
          <w:ilvl w:val="0"/>
          <w:numId w:val="2"/>
        </w:numPr>
        <w:bidi/>
        <w:jc w:val="right"/>
      </w:pPr>
      <w:r>
        <w:rPr>
          <w:rtl/>
        </w:rPr>
        <w:t xml:space="preserve">الإفصاح الفوري كتابياً عند نشوء أي تعارض طارئ.</w:t>
      </w:r>
    </w:p>
    <w:p>
      <w:pPr>
        <w:pStyle w:val="ListParagraph"/>
        <w:numPr>
          <w:ilvl w:val="0"/>
          <w:numId w:val="2"/>
        </w:numPr>
        <w:bidi/>
        <w:jc w:val="right"/>
      </w:pPr>
      <w:r>
        <w:rPr>
          <w:rtl/>
        </w:rPr>
        <w:t xml:space="preserve">الامتناع عن التصويت أو المداولة أو التأثير في القرار محل التعارض.</w:t>
      </w:r>
    </w:p>
    <w:p>
      <w:pPr>
        <w:pStyle w:val="ListParagraph"/>
        <w:numPr>
          <w:ilvl w:val="0"/>
          <w:numId w:val="2"/>
        </w:numPr>
        <w:bidi/>
        <w:jc w:val="right"/>
      </w:pPr>
      <w:r>
        <w:rPr>
          <w:rtl/>
        </w:rPr>
        <w:t xml:space="preserve">عدم قبول الهدايا التي تزيد قيمتها عن (200) ريال سعودي.</w:t>
      </w:r>
    </w:p>
    <w:p>
      <w:pPr>
        <w:pStyle w:val="Heading2"/>
        <w:bidi/>
        <w:jc w:val="right"/>
      </w:pPr>
      <w:r>
        <w:rPr>
          <w:b/>
          <w:bCs/>
          <w:rtl/>
        </w:rPr>
        <w:t xml:space="preserve">٥. آلية معالجة الإفصاحات</w:t>
      </w:r>
    </w:p>
    <w:p>
      <w:pPr>
        <w:bidi/>
        <w:spacing w:after="120" w:line="340"/>
        <w:jc w:val="right"/>
      </w:pPr>
      <w:r>
        <w:rPr>
          <w:b w:val="false"/>
          <w:bCs w:val="false"/>
          <w:rtl/>
        </w:rPr>
        <w:t xml:space="preserve">تُرفع الإفصاحات إلى لجنة المراجعة والالتزام لدراستها خلال (10) أيام عمل، وتُصدر توصيتها إلى مجلس الأمناء الذي يتخذ القرار المناسب: (السماح المشروط / التنحّي / إنهاء العلاقة التعاقدية).</w:t>
      </w:r>
    </w:p>
    <w:p>
      <w:pPr>
        <w:pStyle w:val="Heading2"/>
        <w:bidi/>
        <w:jc w:val="right"/>
      </w:pPr>
      <w:r>
        <w:rPr>
          <w:b/>
          <w:bCs/>
          <w:rtl/>
        </w:rPr>
        <w:t xml:space="preserve">٦. السرية</w:t>
      </w:r>
    </w:p>
    <w:p>
      <w:pPr>
        <w:bidi/>
        <w:spacing w:after="120" w:line="340"/>
        <w:jc w:val="right"/>
      </w:pPr>
      <w:r>
        <w:rPr>
          <w:b w:val="false"/>
          <w:bCs w:val="false"/>
          <w:rtl/>
        </w:rPr>
        <w:t xml:space="preserve">تُعامل جميع الإفصاحات بسرية تامة، ولا يُطَّلع عليها إلا من له صلاحية بحكم منصبه في لجنة المراجعة أو مجلس الأمناء.</w:t>
      </w:r>
    </w:p>
    <w:p>
      <w:pPr>
        <w:pStyle w:val="Heading2"/>
        <w:bidi/>
        <w:jc w:val="right"/>
      </w:pPr>
      <w:r>
        <w:rPr>
          <w:b/>
          <w:bCs/>
          <w:rtl/>
        </w:rPr>
        <w:t xml:space="preserve">٧. المخالفات والجزاءات</w:t>
      </w:r>
    </w:p>
    <w:p>
      <w:pPr>
        <w:bidi/>
        <w:spacing w:after="120" w:line="340"/>
        <w:jc w:val="right"/>
      </w:pPr>
      <w:r>
        <w:rPr>
          <w:b w:val="false"/>
          <w:bCs w:val="false"/>
          <w:rtl/>
        </w:rPr>
        <w:t xml:space="preserve">يُعدّ إخفاء تعارض المصالح مخالفة جسيمة تستوجب: التنبيه الكتابي / الإنذار / إنهاء العلاقة الوظيفية أو التعاقدية / إحالة الأمر للجهات المختصة عند وجود شبهة جنائية.</w:t>
      </w:r>
    </w:p>
    <w:p>
      <w:pPr>
        <w:pStyle w:val="Heading2"/>
        <w:bidi/>
        <w:jc w:val="right"/>
      </w:pPr>
      <w:r>
        <w:rPr>
          <w:b/>
          <w:bCs/>
          <w:rtl/>
        </w:rPr>
        <w:t xml:space="preserve">٨. نموذج الإقرار السنوي</w:t>
      </w:r>
    </w:p>
    <w:p>
      <w:pPr>
        <w:bidi/>
        <w:spacing w:after="120" w:line="340"/>
        <w:jc w:val="right"/>
      </w:pPr>
      <w:r>
        <w:rPr>
          <w:b/>
          <w:bCs/>
          <w:rtl/>
        </w:rPr>
        <w:t xml:space="preserve">أُقرّ أنا الموقّع أدناه بأنني اطّلعتُ على سياسة تعارض المصالح المعتمدة، وأنني:</w:t>
      </w:r>
    </w:p>
    <w:p>
      <w:pPr>
        <w:pStyle w:val="ListParagraph"/>
        <w:numPr>
          <w:ilvl w:val="0"/>
          <w:numId w:val="2"/>
        </w:numPr>
        <w:bidi/>
        <w:jc w:val="right"/>
      </w:pPr>
      <w:r>
        <w:rPr>
          <w:rtl/>
        </w:rPr>
        <w:t xml:space="preserve">[   ] لا يوجد لديّ أي تعارض مصالح حالي أو محتمل.</w:t>
      </w:r>
    </w:p>
    <w:p>
      <w:pPr>
        <w:pStyle w:val="ListParagraph"/>
        <w:numPr>
          <w:ilvl w:val="0"/>
          <w:numId w:val="2"/>
        </w:numPr>
        <w:bidi/>
        <w:jc w:val="right"/>
      </w:pPr>
      <w:r>
        <w:rPr>
          <w:rtl/>
        </w:rPr>
        <w:t xml:space="preserve">[   ] يوجد لديّ التعارض التالي، وقد أفصحتُ عنه أدناه:</w:t>
      </w:r>
    </w:p>
    <w:p>
      <w:pPr>
        <w:bidi/>
        <w:spacing w:after="120" w:line="340"/>
        <w:jc w:val="right"/>
      </w:pPr>
      <w:r>
        <w:rPr>
          <w:b w:val="false"/>
          <w:bCs w:val="false"/>
          <w:rtl/>
        </w:rPr>
        <w:t xml:space="preserve">التفاصيل: ___________________________________________________________________________</w:t>
      </w:r>
    </w:p>
    <w:p>
      <w:pPr>
        <w:bidi/>
        <w:spacing w:after="120" w:line="340"/>
        <w:jc w:val="right"/>
      </w:pPr>
      <w:r>
        <w:rPr>
          <w:b w:val="false"/>
          <w:bCs w:val="false"/>
          <w:rtl/>
        </w:rPr>
        <w:t xml:space="preserve">الاسم: ______________________ المنصب: ______________________ التوقيع: ______________ التاريخ: __________</w:t>
      </w:r>
    </w:p>
    <w:p>
      <w:pPr>
        <w:pBdr>
          <w:bottom w:val="single" w:color="B08D3A" w:sz="8" w:space="6"/>
        </w:pBdr>
        <w:spacing w:after="200" w:before="100"/>
      </w:pPr>
    </w:p>
    <w:p>
      <w:pPr>
        <w:pStyle w:val="Heading2"/>
        <w:bidi/>
        <w:jc w:val="right"/>
      </w:pPr>
      <w:r>
        <w:rPr>
          <w:b/>
          <w:bCs/>
          <w:rtl/>
        </w:rPr>
        <w:t xml:space="preserve">اعتماد وتوقيع</w:t>
      </w:r>
    </w:p>
    <w:p>
      <w:pPr>
        <w:bidi/>
        <w:spacing w:after="120" w:line="340"/>
        <w:jc w:val="right"/>
      </w:pPr>
      <w:r>
        <w:rPr>
          <w:b w:val="false"/>
          <w:bCs w:val="false"/>
          <w:rtl/>
        </w:rPr>
        <w:t xml:space="preserve">اعتُمدت هذه الوثيقة من مجلس أمناء المؤسسة وتصبح سارية من تاريخ التوقيع أدناه، وتخضع للمراجعة سنوياً أو عند أي تغيير جوهري.</w:t>
      </w:r>
    </w:p>
    <w:p>
      <w:pPr>
        <w:bidi/>
        <w:spacing w:after="120" w:line="340"/>
        <w:jc w:val="right"/>
      </w:pPr>
      <w:r>
        <w:rPr>
          <w:b w:val="false"/>
          <w:bCs w:val="false"/>
          <w:rtl/>
        </w:rPr>
        <w:t xml:space="preserve"> </w:t>
      </w:r>
    </w:p>
    <w:p>
      <w:pPr>
        <w:bidi/>
        <w:spacing w:after="120" w:line="340"/>
        <w:jc w:val="right"/>
      </w:pPr>
      <w:r>
        <w:rPr>
          <w:b/>
          <w:bCs/>
          <w:rtl/>
        </w:rPr>
        <w:t xml:space="preserve">رئيس مجلس الأمناء:  __________________________          التوقيع: __________________</w:t>
      </w:r>
    </w:p>
    <w:p>
      <w:pPr>
        <w:bidi/>
        <w:spacing w:after="120" w:line="340"/>
        <w:jc w:val="right"/>
      </w:pPr>
      <w:r>
        <w:rPr>
          <w:b/>
          <w:bCs/>
          <w:rtl/>
        </w:rPr>
        <w:t xml:space="preserve">المدير التنفيذي:      __________________________          التوقيع: __________________</w:t>
      </w:r>
    </w:p>
    <w:p>
      <w:pPr>
        <w:bidi/>
        <w:spacing w:after="120" w:line="340"/>
        <w:jc w:val="right"/>
      </w:pPr>
      <w:r>
        <w:rPr>
          <w:b/>
          <w:bCs/>
          <w:rtl/>
        </w:rPr>
        <w:t xml:space="preserve">رئيس لجنة المراجعة: __________________________          التوقيع: __________________</w:t>
      </w:r>
    </w:p>
    <w:p>
      <w:pPr>
        <w:bidi/>
        <w:spacing w:after="120" w:line="340"/>
        <w:jc w:val="right"/>
      </w:pPr>
      <w:r>
        <w:rPr>
          <w:b/>
          <w:bCs/>
          <w:rtl/>
        </w:rPr>
        <w:t xml:space="preserve">التاريخ:              ______ / ______ / 20___هـ</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08D3A" w:sz="6" w:space="4"/>
      </w:pBdr>
      <w:jc w:val="center"/>
    </w:pPr>
    <w:r>
      <w:rPr>
        <w:color w:val="6B7280"/>
        <w:sz w:val="18"/>
        <w:szCs w:val="18"/>
        <w:rtl/>
      </w:rPr>
      <w:t xml:space="preserve">صفحة </w:t>
    </w:r>
    <w:r>
      <w:rPr>
        <w:color w:val="6B7280"/>
        <w:sz w:val="18"/>
        <w:szCs w:val="18"/>
      </w:rPr>
      <w:fldChar w:fldCharType="begin"/>
      <w:instrText xml:space="preserve">PAGE</w:instrText>
      <w:fldChar w:fldCharType="separate"/>
      <w:fldChar w:fldCharType="end"/>
    </w:r>
    <w:r>
      <w:rPr>
        <w:color w:val="6B7280"/>
        <w:sz w:val="18"/>
        <w:szCs w:val="18"/>
        <w:rtl/>
      </w:rPr>
      <w:t xml:space="preserve"> من </w:t>
    </w:r>
    <w:r>
      <w:rPr>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66534" w:sz="6" w:space="4"/>
      </w:pBdr>
      <w:bidi/>
      <w:jc w:val="right"/>
    </w:pPr>
    <w:r>
      <w:rPr>
        <w:b/>
        <w:bCs/>
        <w:color w:val="166534"/>
        <w:sz w:val="18"/>
        <w:szCs w:val="18"/>
        <w:rtl/>
      </w:rPr>
      <w:t xml:space="preserve">مؤسسة خالد بن فهد البعيز الخيرية  •  الحوكمة والسياسات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right"/>
      <w:pPr>
        <w:ind w:righ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jc w:val="right"/>
      <w:outlineLvl w:val="0"/>
    </w:pPr>
    <w:rPr>
      <w:rFonts w:ascii="Arial" w:cs="Arial" w:eastAsia="Arial" w:hAnsi="Arial"/>
      <w:b/>
      <w:bCs/>
      <w:color w:val="166534"/>
      <w:sz w:val="34"/>
      <w:szCs w:val="34"/>
      <w:rtl/>
    </w:rPr>
  </w:style>
  <w:style w:type="paragraph" w:styleId="Heading2">
    <w:name w:val="Heading 2"/>
    <w:basedOn w:val="Normal"/>
    <w:next w:val="Normal"/>
    <w:qFormat/>
    <w:pPr>
      <w:spacing w:after="140" w:before="240"/>
      <w:jc w:val="right"/>
      <w:outlineLvl w:val="1"/>
    </w:pPr>
    <w:rPr>
      <w:rFonts w:ascii="Arial" w:cs="Arial" w:eastAsia="Arial" w:hAnsi="Arial"/>
      <w:b/>
      <w:bCs/>
      <w:color w:val="166534"/>
      <w:sz w:val="28"/>
      <w:szCs w:val="28"/>
      <w:rtl/>
    </w:rPr>
  </w:style>
  <w:style w:type="paragraph" w:styleId="Heading3">
    <w:name w:val="Heading 3"/>
    <w:basedOn w:val="Normal"/>
    <w:next w:val="Normal"/>
    <w:qFormat/>
    <w:pPr>
      <w:spacing w:after="100" w:before="160"/>
      <w:jc w:val="right"/>
      <w:outlineLvl w:val="2"/>
    </w:pPr>
    <w:rPr>
      <w:rFonts w:ascii="Arial" w:cs="Arial" w:eastAsia="Arial" w:hAnsi="Arial"/>
      <w:b/>
      <w:bCs/>
      <w:color w:val="374151"/>
      <w:sz w:val="24"/>
      <w:szCs w:val="24"/>
      <w:rtl/>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2026-07-19T12:00:10.397Z</dcterms:created>
  <dcterms:modified xsi:type="dcterms:W3CDTF">2026-07-19T12:00:10.397Z</dcterms:modified>
</cp:coreProperties>
</file>

<file path=docProps/custom.xml><?xml version="1.0" encoding="utf-8"?>
<Properties xmlns="http://schemas.openxmlformats.org/officeDocument/2006/custom-properties" xmlns:vt="http://schemas.openxmlformats.org/officeDocument/2006/docPropsVTypes"/>
</file>