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  <w:jc w:val="center"/>
      </w:pPr>
      <w:r>
        <w:rPr>
          <w:b/>
          <w:bCs/>
          <w:color w:val="166534"/>
          <w:sz w:val="36"/>
          <w:szCs w:val="36"/>
          <w:rtl/>
        </w:rPr>
        <w:t xml:space="preserve">مؤسسة خالد بن فهد البعيز الخيرية</w:t>
      </w:r>
    </w:p>
    <w:p>
      <w:pPr>
        <w:spacing w:before="200"/>
        <w:jc w:val="center"/>
      </w:pPr>
      <w:r>
        <w:rPr>
          <w:color w:val="6B7280"/>
          <w:sz w:val="24"/>
          <w:szCs w:val="24"/>
        </w:rPr>
        <w:t xml:space="preserve">Khaled Bin Fahad Al-Buaijan Foundation</w:t>
      </w:r>
    </w:p>
    <w:p>
      <w:pPr>
        <w:pBdr>
          <w:bottom w:val="single" w:color="B08D3A" w:sz="8" w:space="6"/>
        </w:pBdr>
        <w:spacing w:after="200" w:before="100"/>
      </w:pPr>
    </w:p>
    <w:p>
      <w:pPr>
        <w:spacing w:before="800"/>
        <w:jc w:val="center"/>
      </w:pPr>
      <w:r>
        <w:rPr>
          <w:b/>
          <w:bCs/>
          <w:color w:val="166534"/>
          <w:sz w:val="52"/>
          <w:szCs w:val="52"/>
          <w:rtl/>
        </w:rPr>
        <w:t xml:space="preserve">سياسة حماية المُبلِّغين</w:t>
      </w:r>
    </w:p>
    <w:p>
      <w:pPr>
        <w:spacing w:before="200"/>
        <w:jc w:val="center"/>
      </w:pPr>
      <w:r>
        <w:rPr>
          <w:color w:val="4B5563"/>
          <w:sz w:val="26"/>
          <w:szCs w:val="26"/>
          <w:rtl/>
        </w:rPr>
        <w:t xml:space="preserve">Whistleblower Protection Policy</w:t>
      </w:r>
    </w:p>
    <w:p>
      <w:pPr>
        <w:spacing w:before="2400"/>
        <w:jc w:val="center"/>
      </w:pPr>
      <w:r>
        <w:rPr>
          <w:color w:val="374151"/>
          <w:sz w:val="22"/>
          <w:szCs w:val="22"/>
          <w:rtl/>
        </w:rPr>
        <w:t xml:space="preserve">رقم الوثيقة: GOV-POL-003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الإصدار: 1.0     |     تاريخ الاعتماد: ______ / ______ / 20___هـ</w:t>
      </w:r>
    </w:p>
    <w:p>
      <w:pPr>
        <w:spacing w:before="100"/>
        <w:jc w:val="center"/>
      </w:pPr>
      <w:r>
        <w:rPr>
          <w:color w:val="374151"/>
          <w:sz w:val="22"/>
          <w:szCs w:val="22"/>
          <w:rtl/>
        </w:rPr>
        <w:t xml:space="preserve">الجهة المعتمِدة: مجلس الأمناء</w:t>
      </w:r>
    </w:p>
    <w:p>
      <w:pPr>
        <w:pageBreakBefore/>
      </w:pPr>
      <w:r>
        <w:br/>
        <w:t xml:space="preserve"/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١. الغرض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توفير قناة آمنة وسرية تمكّن منسوبي المؤسسة والمتعاملين معها والمجتمع من الإبلاغ عن أي مخالفة أو فساد مالي أو إداري أو انتهاك للأنظمة والسياسات، مع ضمان السرية التامة للمُبلِّغ.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٢. نطاق البلاغات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الفساد المالي أو الإداري أو الاختلاس.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التلاعب بالبيانات المالية أو التقارير.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انتهاك سياسة تعارض المصالح.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التمييز أو التحرش أو سوء استخدام السلطة.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الإخلال بحقوق المستفيدين.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انتهاك خصوصية البيانات أو تسريبها.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٣. قنوات الإبلاغ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البوابة الإلكترونية المُشفَّرة على موقع المؤسسة: /report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البريد الإلكتروني السرّي: compliance@kfbfoundation.com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الخطاب الورقي المختوم إلى: رئيس لجنة المراجعة والالتزام – ص.ب __________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٤. ضمانات السرية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لا تُجمَع بيانات هوية المُبلِّغ عند استخدام البوابة الإلكترونية.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يُمنح كل بلاغ رمز تتبّع فريد لمتابعته دون الكشف عن الهوية.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يقتصر الاطلاع على البلاغ على أعضاء لجنة المراجعة والالتزام فقط.</w:t>
      </w:r>
    </w:p>
    <w:p>
      <w:pPr>
        <w:pStyle w:val="ListParagraph"/>
        <w:numPr>
          <w:ilvl w:val="0"/>
          <w:numId w:val="2"/>
        </w:numPr>
        <w:bidi/>
        <w:jc w:val="right"/>
      </w:pPr>
      <w:r>
        <w:rPr>
          <w:rtl/>
        </w:rPr>
        <w:t xml:space="preserve">تُخزَّن البيانات مُشفَّرة وتُتلَف بعد إغلاق البلاغ بمدة لا تقل عن (5) سنوات.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٥. آلية المعالجة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يُستقبَل البلاغ خلال (24) ساعة، ويُدرَس من لجنة المراجعة خلال (7) أيام عمل، وتُتخذ الإجراءات التصحيحية خلال (30) يوماً كحد أقصى، مع إشعار المُبلِّغ بالنتيجة عبر رمز التتبّع.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٦. البلاغات الكيدية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يُعتبَر البلاغ الكيدي الذي يُقدَّم بسوء نية وبغرض الإضرار مخالفة جسيمة تستوجب المساءلة النظامية والتأديبية.</w:t>
      </w:r>
    </w:p>
    <w:p>
      <w:pPr>
        <w:pStyle w:val="Heading2"/>
        <w:bidi/>
        <w:jc w:val="right"/>
      </w:pPr>
      <w:r>
        <w:rPr>
          <w:b/>
          <w:bCs/>
          <w:rtl/>
        </w:rPr>
        <w:t xml:space="preserve">٧. الحوكمة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يُرفَع تقرير سنوي مُجمَّع عن البلاغات (بدون بيانات شخصية) إلى مجلس الأمناء، ويُنشَر ملخص في التقرير السنوي للمؤسسة تعزيزاً للشفافية.</w:t>
      </w:r>
    </w:p>
    <w:p>
      <w:pPr>
        <w:pBdr>
          <w:bottom w:val="single" w:color="B08D3A" w:sz="8" w:space="6"/>
        </w:pBdr>
        <w:spacing w:after="200" w:before="100"/>
      </w:pPr>
    </w:p>
    <w:p>
      <w:pPr>
        <w:pStyle w:val="Heading2"/>
        <w:bidi/>
        <w:jc w:val="right"/>
      </w:pPr>
      <w:r>
        <w:rPr>
          <w:b/>
          <w:bCs/>
          <w:rtl/>
        </w:rPr>
        <w:t xml:space="preserve">اعتماد وتوقيع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اعتُمدت هذه الوثيقة من مجلس أمناء المؤسسة وتصبح سارية من تاريخ التوقيع أدناه، وتخضع للمراجعة سنوياً أو عند أي تغيير جوهري.</w:t>
      </w:r>
    </w:p>
    <w:p>
      <w:pPr>
        <w:bidi/>
        <w:spacing w:after="120" w:line="340"/>
        <w:jc w:val="right"/>
      </w:pPr>
      <w:r>
        <w:rPr>
          <w:b w:val="false"/>
          <w:bCs w:val="false"/>
          <w:rtl/>
        </w:rPr>
        <w:t xml:space="preserve"> 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مجلس الأمناء: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المدير التنفيذي:     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رئيس لجنة المراجعة: __________________________          التوقيع: __________________</w:t>
      </w:r>
    </w:p>
    <w:p>
      <w:pPr>
        <w:bidi/>
        <w:spacing w:after="120" w:line="340"/>
        <w:jc w:val="right"/>
      </w:pPr>
      <w:r>
        <w:rPr>
          <w:b/>
          <w:bCs/>
          <w:rtl/>
        </w:rPr>
        <w:t xml:space="preserve">التاريخ:              ______ / ______ / 20___هـ</w:t>
      </w:r>
    </w:p>
    <w:sectPr>
      <w:headerReference w:type="default" r:id="rId7"/>
      <w:footerReference w:type="default" r:id="rId8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08D3A" w:sz="6" w:space="4"/>
      </w:pBdr>
      <w:jc w:val="center"/>
    </w:pPr>
    <w:r>
      <w:rPr>
        <w:color w:val="6B7280"/>
        <w:sz w:val="18"/>
        <w:szCs w:val="18"/>
        <w:rtl/>
      </w:rPr>
      <w:t xml:space="preserve">صفحة </w:t>
    </w:r>
    <w:r>
      <w:rPr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8"/>
        <w:szCs w:val="18"/>
        <w:rtl/>
      </w:rPr>
      <w:t xml:space="preserve"> من </w:t>
    </w:r>
    <w:r>
      <w:rPr>
        <w:color w:val="6B7280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66534" w:sz="6" w:space="4"/>
      </w:pBdr>
      <w:bidi/>
      <w:jc w:val="right"/>
    </w:pPr>
    <w:r>
      <w:rPr>
        <w:b/>
        <w:bCs/>
        <w:color w:val="166534"/>
        <w:sz w:val="18"/>
        <w:szCs w:val="18"/>
        <w:rtl/>
      </w:rPr>
      <w:t xml:space="preserve">مؤسسة خالد بن فهد البعيز الخيرية  •  الحوكمة والسياسات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right"/>
      <w:pPr>
        <w:ind w:righ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jc w:val="right"/>
      <w:outlineLvl w:val="0"/>
    </w:pPr>
    <w:rPr>
      <w:rFonts w:ascii="Arial" w:cs="Arial" w:eastAsia="Arial" w:hAnsi="Arial"/>
      <w:b/>
      <w:bCs/>
      <w:color w:val="166534"/>
      <w:sz w:val="34"/>
      <w:szCs w:val="34"/>
      <w:rtl/>
    </w:rPr>
  </w:style>
  <w:style w:type="paragraph" w:styleId="Heading2">
    <w:name w:val="Heading 2"/>
    <w:basedOn w:val="Normal"/>
    <w:next w:val="Normal"/>
    <w:qFormat/>
    <w:pPr>
      <w:spacing w:after="140" w:before="240"/>
      <w:jc w:val="right"/>
      <w:outlineLvl w:val="1"/>
    </w:pPr>
    <w:rPr>
      <w:rFonts w:ascii="Arial" w:cs="Arial" w:eastAsia="Arial" w:hAnsi="Arial"/>
      <w:b/>
      <w:bCs/>
      <w:color w:val="166534"/>
      <w:sz w:val="28"/>
      <w:szCs w:val="28"/>
      <w:rtl/>
    </w:rPr>
  </w:style>
  <w:style w:type="paragraph" w:styleId="Heading3">
    <w:name w:val="Heading 3"/>
    <w:basedOn w:val="Normal"/>
    <w:next w:val="Normal"/>
    <w:qFormat/>
    <w:pPr>
      <w:spacing w:after="100" w:before="160"/>
      <w:jc w:val="right"/>
      <w:outlineLvl w:val="2"/>
    </w:pPr>
    <w:rPr>
      <w:rFonts w:ascii="Arial" w:cs="Arial" w:eastAsia="Arial" w:hAnsi="Arial"/>
      <w:b/>
      <w:bCs/>
      <w:color w:val="374151"/>
      <w:sz w:val="24"/>
      <w:szCs w:val="24"/>
      <w:rtl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2026-07-19T12:00:10.444Z</dcterms:created>
  <dcterms:modified xsi:type="dcterms:W3CDTF">2026-07-19T12:00:10.444Z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